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9.png" ContentType="image/png"/>
  <Override PartName="/word/media/rId58.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91.png" ContentType="image/png"/>
  <Override PartName="/word/media/rId83.png" ContentType="image/png"/>
  <Override PartName="/word/media/rId86.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fmaguire/mag_sim_paper@dc13b93</w:t>
        </w:r>
      </w:hyperlink>
      <w:r>
        <w:t xml:space="preserve"> </w:t>
      </w:r>
      <w:r>
        <w:t xml:space="preserve">on August 28,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binning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nor AMR genes were recovered, and only 0-45% of AMR or VF genes within GIs.</w:t>
      </w:r>
      <w:r>
        <w:t xml:space="preserve"> </w:t>
      </w:r>
      <w:r>
        <w:t xml:space="preserve">We conclude that short-read MAG approaches without further optimisation are largely ineffective for the analysis of mobile genes, including those of public-health importance like AMR and VF genes.</w:t>
      </w:r>
      <w:r>
        <w:t xml:space="preserve"> </w:t>
      </w:r>
      <w:r>
        <w:t xml:space="preserve">We propose that researchers should explore developing methods that optimise for this issue and consider also using unassembled short reads and/or long-read approaches to more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focus on incorporating improved methods as well as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https://github.com/fmaguire/MAG_gi_plasmid_analysis</w:t>
        </w:r>
      </w:hyperlink>
      <w:r>
        <w:t xml:space="preserve"> </w:t>
      </w:r>
      <w:r>
        <w:t xml:space="preserve">(10.5281/zenodo.4005062) and data repository</w:t>
      </w:r>
      <w:r>
        <w:t xml:space="preserve"> </w:t>
      </w:r>
      <w:hyperlink r:id="rId43">
        <w:r>
          <w:rPr>
            <w:rStyle w:val="Hyperlink"/>
          </w:rPr>
          <w:t xml:space="preserve">https://osf.io/nrejs/</w:t>
        </w:r>
      </w:hyperlink>
      <w:r>
        <w:t xml:space="preserve"> </w:t>
      </w:r>
      <w:r>
        <w:t xml:space="preserve">(10.17605/OSF.IO/NREJS)</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 Technologies’s (ONT) nanopore sequencing</w:t>
      </w:r>
      <w:r>
        <w:t xml:space="preserve"> </w:t>
      </w:r>
      <w:r>
        <w:t xml:space="preserve">[</w:t>
      </w:r>
      <w:hyperlink w:anchor="ref-19dz2SKIf">
        <w:r>
          <w:rPr>
            <w:rStyle w:val="Hyperlink"/>
          </w:rPr>
          <w:t xml:space="preserve">7</w:t>
        </w:r>
      </w:hyperlink>
      <w:r>
        <w:t xml:space="preserve">]</w:t>
      </w:r>
      <w:r>
        <w:t xml:space="preserve"> </w:t>
      </w:r>
      <w:r>
        <w:t xml:space="preserve">and Pacific Biosciences’ (PacBio) single-molecule real-time sequencing</w:t>
      </w:r>
      <w:r>
        <w:t xml:space="preserve"> </w:t>
      </w:r>
      <w:r>
        <w:t xml:space="preserve">[</w:t>
      </w:r>
      <w:hyperlink w:anchor="ref-QbXTukk0">
        <w:r>
          <w:rPr>
            <w:rStyle w:val="Hyperlink"/>
          </w:rPr>
          <w:t xml:space="preserve">8</w:t>
        </w:r>
      </w:hyperlink>
      <w:r>
        <w:t xml:space="preserve">]</w:t>
      </w:r>
      <w:r>
        <w:t xml:space="preserve"> </w:t>
      </w:r>
      <w:r>
        <w:t xml:space="preserve">platforms) are now being used for metagenomic sequencing</w:t>
      </w:r>
      <w:r>
        <w:t xml:space="preserve"> </w:t>
      </w:r>
      <w:r>
        <w:t xml:space="preserve">[</w:t>
      </w:r>
      <w:hyperlink w:anchor="ref-U4vhNZoB">
        <w:r>
          <w:rPr>
            <w:rStyle w:val="Hyperlink"/>
          </w:rPr>
          <w:t xml:space="preserve">9</w:t>
        </w:r>
      </w:hyperlink>
      <w:r>
        <w:t xml:space="preserve">,</w:t>
      </w:r>
      <w:r>
        <w:t xml:space="preserve"> </w:t>
      </w:r>
      <w:hyperlink w:anchor="ref-1759XyDVi">
        <w:r>
          <w:rPr>
            <w:rStyle w:val="Hyperlink"/>
          </w:rPr>
          <w:t xml:space="preserve">10</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11</w:t>
        </w:r>
      </w:hyperlink>
      <w:r>
        <w:t xml:space="preserve">–</w:t>
      </w:r>
      <w:hyperlink w:anchor="ref-OoKZ0WcH">
        <w:r>
          <w:rPr>
            <w:rStyle w:val="Hyperlink"/>
          </w:rPr>
          <w:t xml:space="preserve">14</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15</w:t>
        </w:r>
      </w:hyperlink>
      <w:r>
        <w:t xml:space="preserve">]</w:t>
      </w:r>
      <w:r>
        <w:t xml:space="preserve">, selective pressures</w:t>
      </w:r>
      <w:r>
        <w:t xml:space="preserve"> </w:t>
      </w:r>
      <w:r>
        <w:t xml:space="preserve">[</w:t>
      </w:r>
      <w:hyperlink w:anchor="ref-1BcFmOfCH">
        <w:r>
          <w:rPr>
            <w:rStyle w:val="Hyperlink"/>
          </w:rPr>
          <w:t xml:space="preserve">16</w:t>
        </w:r>
      </w:hyperlink>
      <w:r>
        <w:t xml:space="preserve">]</w:t>
      </w:r>
      <w:r>
        <w:t xml:space="preserve">, and likelihood of lateral gene transfer (LGT)</w:t>
      </w:r>
      <w:r>
        <w:t xml:space="preserve"> </w:t>
      </w:r>
      <w:r>
        <w:t xml:space="preserve">[</w:t>
      </w:r>
      <w:hyperlink w:anchor="ref-SACLvb9k">
        <w:r>
          <w:rPr>
            <w:rStyle w:val="Hyperlink"/>
          </w:rPr>
          <w:t xml:space="preserve">17</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18</w:t>
        </w:r>
      </w:hyperlink>
      <w:r>
        <w:t xml:space="preserve">]</w:t>
      </w:r>
      <w:r>
        <w:t xml:space="preserve">, IDBA-UD</w:t>
      </w:r>
      <w:r>
        <w:t xml:space="preserve"> </w:t>
      </w:r>
      <w:r>
        <w:t xml:space="preserve">[</w:t>
      </w:r>
      <w:hyperlink w:anchor="ref-a4mT7fuU">
        <w:r>
          <w:rPr>
            <w:rStyle w:val="Hyperlink"/>
          </w:rPr>
          <w:t xml:space="preserve">19</w:t>
        </w:r>
      </w:hyperlink>
      <w:r>
        <w:t xml:space="preserve">]</w:t>
      </w:r>
      <w:r>
        <w:t xml:space="preserve">, and megahit</w:t>
      </w:r>
      <w:r>
        <w:t xml:space="preserve"> </w:t>
      </w:r>
      <w:r>
        <w:t xml:space="preserve">[</w:t>
      </w:r>
      <w:hyperlink w:anchor="ref-1EUV0Ejkr">
        <w:r>
          <w:rPr>
            <w:rStyle w:val="Hyperlink"/>
          </w:rPr>
          <w:t xml:space="preserve">20</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21</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22</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23</w:t>
        </w:r>
      </w:hyperlink>
      <w:r>
        <w:t xml:space="preserve">]</w:t>
      </w:r>
      <w:r>
        <w:t xml:space="preserve">, MetaBAT 2</w:t>
      </w:r>
      <w:r>
        <w:t xml:space="preserve"> </w:t>
      </w:r>
      <w:r>
        <w:t xml:space="preserve">[</w:t>
      </w:r>
      <w:hyperlink w:anchor="ref-b2WO18xh">
        <w:r>
          <w:rPr>
            <w:rStyle w:val="Hyperlink"/>
          </w:rPr>
          <w:t xml:space="preserve">24</w:t>
        </w:r>
      </w:hyperlink>
      <w:r>
        <w:t xml:space="preserve">]</w:t>
      </w:r>
      <w:r>
        <w:t xml:space="preserve">, MaxBin 2</w:t>
      </w:r>
      <w:r>
        <w:t xml:space="preserve"> </w:t>
      </w:r>
      <w:r>
        <w:t xml:space="preserve">[</w:t>
      </w:r>
      <w:hyperlink w:anchor="ref-sG4CX8Uj">
        <w:r>
          <w:rPr>
            <w:rStyle w:val="Hyperlink"/>
          </w:rPr>
          <w:t xml:space="preserve">25</w:t>
        </w:r>
      </w:hyperlink>
      <w:r>
        <w:t xml:space="preserve">]</w:t>
      </w:r>
      <w:r>
        <w:t xml:space="preserve">, and a tool which combines their predictions: DAS Tool</w:t>
      </w:r>
      <w:r>
        <w:t xml:space="preserve"> </w:t>
      </w:r>
      <w:r>
        <w:t xml:space="preserve">[</w:t>
      </w:r>
      <w:hyperlink w:anchor="ref-DfIRBmdF">
        <w:r>
          <w:rPr>
            <w:rStyle w:val="Hyperlink"/>
          </w:rPr>
          <w:t xml:space="preserve">26</w:t>
        </w:r>
      </w:hyperlink>
      <w:r>
        <w:t xml:space="preserve">]</w:t>
      </w:r>
      <w:r>
        <w:t xml:space="preserve">.</w:t>
      </w:r>
      <w:r>
        <w:t xml:space="preserve"> </w:t>
      </w:r>
      <w:r>
        <w:t xml:space="preserve">These MAG binning methods have been used in unveiling previously uncharacterised genomic diversity</w:t>
      </w:r>
      <w:r>
        <w:t xml:space="preserve"> </w:t>
      </w:r>
      <w:r>
        <w:t xml:space="preserve">[</w:t>
      </w:r>
      <w:hyperlink w:anchor="ref-4rsFboY4">
        <w:r>
          <w:rPr>
            <w:rStyle w:val="Hyperlink"/>
          </w:rPr>
          <w:t xml:space="preserve">27</w:t>
        </w:r>
      </w:hyperlink>
      <w:r>
        <w:t xml:space="preserve">–</w:t>
      </w:r>
      <w:hyperlink w:anchor="ref-Rk2NATlI">
        <w:r>
          <w:rPr>
            <w:rStyle w:val="Hyperlink"/>
          </w:rPr>
          <w:t xml:space="preserve">29</w:t>
        </w:r>
      </w:hyperlink>
      <w:r>
        <w:t xml:space="preserve">]</w:t>
      </w:r>
      <w:r>
        <w:t xml:space="preserve">, but metagenomic assembly and binning results in the loss of some information.</w:t>
      </w:r>
      <w:r>
        <w:t xml:space="preserve"> </w:t>
      </w:r>
      <w:r>
        <w:t xml:space="preserve">This compounded data loss means as little as 24.2-36.4% of reads</w:t>
      </w:r>
      <w:r>
        <w:t xml:space="preserve"> </w:t>
      </w:r>
      <w:r>
        <w:t xml:space="preserve">[</w:t>
      </w:r>
      <w:hyperlink w:anchor="ref-buqrbdBh">
        <w:r>
          <w:rPr>
            <w:rStyle w:val="Hyperlink"/>
          </w:rPr>
          <w:t xml:space="preserve">30</w:t>
        </w:r>
      </w:hyperlink>
      <w:r>
        <w:t xml:space="preserve">,</w:t>
      </w:r>
      <w:r>
        <w:t xml:space="preserve"> </w:t>
      </w:r>
      <w:hyperlink w:anchor="ref-d5Hh0941">
        <w:r>
          <w:rPr>
            <w:rStyle w:val="Hyperlink"/>
          </w:rPr>
          <w:t xml:space="preserve">31</w:t>
        </w:r>
      </w:hyperlink>
      <w:r>
        <w:t xml:space="preserve">]</w:t>
      </w:r>
      <w:r>
        <w:t xml:space="preserve"> </w:t>
      </w:r>
      <w:r>
        <w:t xml:space="preserve">and ~23% of genomes</w:t>
      </w:r>
      <w:r>
        <w:t xml:space="preserve"> </w:t>
      </w:r>
      <w:r>
        <w:t xml:space="preserve">[</w:t>
      </w:r>
      <w:hyperlink w:anchor="ref-d5Hh0941">
        <w:r>
          <w:rPr>
            <w:rStyle w:val="Hyperlink"/>
          </w:rPr>
          <w:t xml:space="preserve">31</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32</w:t>
        </w:r>
      </w:hyperlink>
      <w:r>
        <w:t xml:space="preserve">]</w:t>
      </w:r>
      <w:r>
        <w:t xml:space="preserve"> </w:t>
      </w:r>
      <w:r>
        <w:t xml:space="preserve">benchmarks different MAG recovery methods in terms of global completeness and bin purity.</w:t>
      </w:r>
      <w:r>
        <w:t xml:space="preserve"> </w:t>
      </w:r>
      <w:r>
        <w:t xml:space="preserve">Similarly, a recent study has also used the AMBER approach to evaluate 15 different binning methods applied to a common metaSPAdes assembly</w:t>
      </w:r>
      <w:r>
        <w:t xml:space="preserve"> </w:t>
      </w:r>
      <w:r>
        <w:t xml:space="preserve">[</w:t>
      </w:r>
      <w:hyperlink w:anchor="ref-126oqiCuT">
        <w:r>
          <w:rPr>
            <w:rStyle w:val="Hyperlink"/>
          </w:rPr>
          <w:t xml:space="preserve">33</w:t>
        </w:r>
      </w:hyperlink>
      <w:r>
        <w:t xml:space="preserve">]</w:t>
      </w:r>
      <w:r>
        <w:t xml:space="preserve">.</w:t>
      </w:r>
      <w:r>
        <w:t xml:space="preserve"> </w:t>
      </w:r>
      <w:r>
        <w:t xml:space="preserve">However, to the best of our knowledge, there has not been a specific assessment of MAG-based recovery of mobile genetic elements (MGEs) like genomic islands (GIs) and plasmids, despite their health and research importance.</w:t>
      </w:r>
    </w:p>
    <w:p>
      <w:pPr>
        <w:pStyle w:val="BodyText"/>
      </w:pPr>
      <w:r>
        <w:t xml:space="preserve">Genomic islands (GIs)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34</w:t>
        </w:r>
      </w:hyperlink>
      <w:r>
        <w:t xml:space="preserve">,</w:t>
      </w:r>
      <w:r>
        <w:t xml:space="preserve"> </w:t>
      </w:r>
      <w:hyperlink w:anchor="ref-1Af4oXwEX">
        <w:r>
          <w:rPr>
            <w:rStyle w:val="Hyperlink"/>
          </w:rPr>
          <w:t xml:space="preserve">35</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36</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37</w:t>
        </w:r>
      </w:hyperlink>
      <w:r>
        <w:t xml:space="preserve">,</w:t>
      </w:r>
      <w:r>
        <w:t xml:space="preserve"> </w:t>
      </w:r>
      <w:hyperlink w:anchor="ref-17U91060Y">
        <w:r>
          <w:rPr>
            <w:rStyle w:val="Hyperlink"/>
          </w:rPr>
          <w:t xml:space="preserve">38</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34</w:t>
        </w:r>
      </w:hyperlink>
      <w:r>
        <w:t xml:space="preserve">]</w:t>
      </w:r>
      <w:r>
        <w:t xml:space="preserve">, a trait exploited by GI prediction tools such as SIGI-HMM</w:t>
      </w:r>
      <w:r>
        <w:t xml:space="preserve"> </w:t>
      </w:r>
      <w:r>
        <w:t xml:space="preserve">[</w:t>
      </w:r>
      <w:hyperlink w:anchor="ref-AVvpww8F">
        <w:r>
          <w:rPr>
            <w:rStyle w:val="Hyperlink"/>
          </w:rPr>
          <w:t xml:space="preserve">39</w:t>
        </w:r>
      </w:hyperlink>
      <w:r>
        <w:t xml:space="preserve">]</w:t>
      </w:r>
      <w:r>
        <w:t xml:space="preserve">, IslandPath-DIMOB</w:t>
      </w:r>
      <w:r>
        <w:t xml:space="preserve"> </w:t>
      </w:r>
      <w:r>
        <w:t xml:space="preserve">[</w:t>
      </w:r>
      <w:hyperlink w:anchor="ref-M1pdcdMy">
        <w:r>
          <w:rPr>
            <w:rStyle w:val="Hyperlink"/>
          </w:rPr>
          <w:t xml:space="preserve">40</w:t>
        </w:r>
      </w:hyperlink>
      <w:r>
        <w:t xml:space="preserve">]</w:t>
      </w:r>
      <w:r>
        <w:t xml:space="preserve">, and integrative tools like IslandViewer</w:t>
      </w:r>
      <w:r>
        <w:t xml:space="preserve"> </w:t>
      </w:r>
      <w:r>
        <w:t xml:space="preserve">[</w:t>
      </w:r>
      <w:hyperlink w:anchor="ref-4eEyIkDg">
        <w:r>
          <w:rPr>
            <w:rStyle w:val="Hyperlink"/>
          </w:rPr>
          <w:t xml:space="preserve">41</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42</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43</w:t>
        </w:r>
      </w:hyperlink>
      <w:r>
        <w:t xml:space="preserve">,</w:t>
      </w:r>
      <w:r>
        <w:t xml:space="preserve"> </w:t>
      </w:r>
      <w:hyperlink w:anchor="ref-Z1irb7eF">
        <w:r>
          <w:rPr>
            <w:rStyle w:val="Hyperlink"/>
          </w:rPr>
          <w:t xml:space="preserve">44</w:t>
        </w:r>
      </w:hyperlink>
      <w:r>
        <w:t xml:space="preserve">]</w:t>
      </w:r>
      <w:r>
        <w:t xml:space="preserve">.</w:t>
      </w:r>
      <w:r>
        <w:t xml:space="preserve"> </w:t>
      </w:r>
      <w:r>
        <w:t xml:space="preserve">Similar to GIs, the sequence composition and G+C content of plasmids are often markedly different from the genome with which they are associated</w:t>
      </w:r>
      <w:r>
        <w:t xml:space="preserve"> </w:t>
      </w:r>
      <w:r>
        <w:t xml:space="preserve">[</w:t>
      </w:r>
      <w:hyperlink w:anchor="ref-QK9dmRUA">
        <w:r>
          <w:rPr>
            <w:rStyle w:val="Hyperlink"/>
          </w:rPr>
          <w:t xml:space="preserve">45</w:t>
        </w:r>
      </w:hyperlink>
      <w:r>
        <w:t xml:space="preserve">,</w:t>
      </w:r>
      <w:r>
        <w:t xml:space="preserve"> </w:t>
      </w:r>
      <w:hyperlink w:anchor="ref-ps1aOiRU">
        <w:r>
          <w:rPr>
            <w:rStyle w:val="Hyperlink"/>
          </w:rPr>
          <w:t xml:space="preserve">46</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37</w:t>
        </w:r>
      </w:hyperlink>
      <w:r>
        <w:t xml:space="preserve">,</w:t>
      </w:r>
      <w:r>
        <w:t xml:space="preserve"> </w:t>
      </w:r>
      <w:hyperlink w:anchor="ref-X9j9vETu">
        <w:r>
          <w:rPr>
            <w:rStyle w:val="Hyperlink"/>
          </w:rPr>
          <w:t xml:space="preserve">48</w:t>
        </w:r>
      </w:hyperlink>
      <w:r>
        <w:t xml:space="preserve">]</w:t>
      </w:r>
      <w:r>
        <w:t xml:space="preserve">.</w:t>
      </w:r>
    </w:p>
    <w:p>
      <w:pPr>
        <w:pStyle w:val="BodyText"/>
      </w:pPr>
      <w:r>
        <w:t xml:space="preserve">GIs and plasmids have proven particularly difficult to assemble from short-read sequencing data.</w:t>
      </w:r>
      <w:r>
        <w:t xml:space="preserve"> </w:t>
      </w:r>
      <w:r>
        <w:t xml:space="preserve">Due to the history of their integration at specific insertion sites, GIs are commonly flanked by direct repeats</w:t>
      </w:r>
      <w:r>
        <w:t xml:space="preserve"> </w:t>
      </w:r>
      <w:r>
        <w:t xml:space="preserve">[</w:t>
      </w:r>
      <w:hyperlink w:anchor="ref-8yaWWQ9C">
        <w:r>
          <w:rPr>
            <w:rStyle w:val="Hyperlink"/>
          </w:rPr>
          <w:t xml:space="preserve">49</w:t>
        </w:r>
      </w:hyperlink>
      <w:r>
        <w:t xml:space="preserve">,</w:t>
      </w:r>
      <w:r>
        <w:t xml:space="preserve"> </w:t>
      </w:r>
      <w:hyperlink w:anchor="ref-ghwC8pm3">
        <w:r>
          <w:rPr>
            <w:rStyle w:val="Hyperlink"/>
          </w:rPr>
          <w:t xml:space="preserve">50</w:t>
        </w:r>
      </w:hyperlink>
      <w:r>
        <w:t xml:space="preserve">]</w:t>
      </w:r>
      <w:r>
        <w:t xml:space="preserve">.</w:t>
      </w:r>
      <w:r>
        <w:t xml:space="preserve"> </w:t>
      </w:r>
      <w:r>
        <w:t xml:space="preserve">Repetitive sequences are known to complicate assembly from short reads, with repeats often found at contig break sites</w:t>
      </w:r>
      <w:r>
        <w:t xml:space="preserve"> </w:t>
      </w:r>
      <w:r>
        <w:t xml:space="preserve">[</w:t>
      </w:r>
      <w:hyperlink w:anchor="ref-DRipJnNI">
        <w:r>
          <w:rPr>
            <w:rStyle w:val="Hyperlink"/>
          </w:rPr>
          <w:t xml:space="preserve">51</w:t>
        </w:r>
      </w:hyperlink>
      <w:r>
        <w:t xml:space="preserve">]</w:t>
      </w:r>
      <w:r>
        <w:t xml:space="preserve">.</w:t>
      </w:r>
      <w:r>
        <w:t xml:space="preserve"> </w:t>
      </w:r>
      <w:r>
        <w:t xml:space="preserve">Given that assembly of closely related genomes in a metagenome is already challenging</w:t>
      </w:r>
      <w:r>
        <w:t xml:space="preserve"> </w:t>
      </w:r>
      <w:r>
        <w:t xml:space="preserve">[</w:t>
      </w:r>
      <w:hyperlink w:anchor="ref-lsbnKJf8">
        <w:r>
          <w:rPr>
            <w:rStyle w:val="Hyperlink"/>
          </w:rPr>
          <w:t xml:space="preserve">52</w:t>
        </w:r>
      </w:hyperlink>
      <w:r>
        <w:t xml:space="preserve">]</w:t>
      </w:r>
      <w:r>
        <w:t xml:space="preserve">, the polymorphic nature of GIs and known presence of flanking repeats would be expected to compound these separate assembly issues.</w:t>
      </w:r>
      <w:r>
        <w:t xml:space="preserve"> </w:t>
      </w:r>
      <w:r>
        <w:t xml:space="preserve">Repeats also inhibit the assembly of plasmids from short read sequencing data, particularly for longer plasmid sequences</w:t>
      </w:r>
      <w:r>
        <w:t xml:space="preserve"> </w:t>
      </w:r>
      <w:r>
        <w:t xml:space="preserve">[</w:t>
      </w:r>
      <w:hyperlink w:anchor="ref-12zFifp5x">
        <w:r>
          <w:rPr>
            <w:rStyle w:val="Hyperlink"/>
          </w:rPr>
          <w:t xml:space="preserve">53</w:t>
        </w:r>
      </w:hyperlink>
      <w:r>
        <w:t xml:space="preserve">]</w:t>
      </w:r>
      <w:r>
        <w:t xml:space="preserve">.</w:t>
      </w:r>
      <w:r>
        <w:t xml:space="preserve"> </w:t>
      </w:r>
      <w:r>
        <w:t xml:space="preserve">Additionally, the varying composition and relative abundance features mean that GIs and plasmids pose significant challenges in MAG recovery.</w:t>
      </w:r>
    </w:p>
    <w:p>
      <w:pPr>
        <w:pStyle w:val="BodyText"/>
      </w:pP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40</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41</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w:t>
      </w:r>
    </w:p>
    <w:p>
      <w:pPr>
        <w:numPr>
          <w:ilvl w:val="0"/>
          <w:numId w:val="1002"/>
        </w:numPr>
      </w:pPr>
      <w:r>
        <w:t xml:space="preserve">10 genomes with 1-10 plasmids.</w:t>
      </w:r>
    </w:p>
    <w:p>
      <w:pPr>
        <w:numPr>
          <w:ilvl w:val="0"/>
          <w:numId w:val="1002"/>
        </w:numPr>
      </w:pPr>
      <w:r>
        <w:t xml:space="preserve">10 genomes with &gt;10% of chromosomal DNA predicted to reside in GIs.</w:t>
      </w:r>
    </w:p>
    <w:p>
      <w:pPr>
        <w:numPr>
          <w:ilvl w:val="0"/>
          <w:numId w:val="1002"/>
        </w:numPr>
      </w:pPr>
      <w:r>
        <w:t xml:space="preserve">10 genomes with &lt;1% of chromosomal DNA predicted to reside in GIs.</w:t>
      </w:r>
    </w:p>
    <w:p>
      <w:pPr>
        <w:pStyle w:val="FirstParagraph"/>
      </w:pPr>
      <w:r>
        <w:t xml:space="preserve">In accordance with the recommendation in the CAMI challenge</w:t>
      </w:r>
      <w:r>
        <w:t xml:space="preserve"> </w:t>
      </w:r>
      <w:r>
        <w:t xml:space="preserve">[</w:t>
      </w:r>
      <w:hyperlink w:anchor="ref-lsbnKJf8">
        <w:r>
          <w:rPr>
            <w:rStyle w:val="Hyperlink"/>
          </w:rPr>
          <w:t xml:space="preserve">52</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54</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55</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18</w:t>
        </w:r>
      </w:hyperlink>
      <w:r>
        <w:t xml:space="preserve">]</w:t>
      </w:r>
      <w:r>
        <w:t xml:space="preserve">, IDBA-UD (v1.1.3)</w:t>
      </w:r>
      <w:r>
        <w:t xml:space="preserve"> </w:t>
      </w:r>
      <w:r>
        <w:t xml:space="preserve">[</w:t>
      </w:r>
      <w:hyperlink w:anchor="ref-a4mT7fuU">
        <w:r>
          <w:rPr>
            <w:rStyle w:val="Hyperlink"/>
          </w:rPr>
          <w:t xml:space="preserve">19</w:t>
        </w:r>
      </w:hyperlink>
      <w:r>
        <w:t xml:space="preserve">]</w:t>
      </w:r>
      <w:r>
        <w:t xml:space="preserve">, and megahit (v1.1.3)</w:t>
      </w:r>
      <w:r>
        <w:t xml:space="preserve"> </w:t>
      </w:r>
      <w:r>
        <w:t xml:space="preserve">[</w:t>
      </w:r>
      <w:hyperlink w:anchor="ref-1EUV0Ejkr">
        <w:r>
          <w:rPr>
            <w:rStyle w:val="Hyperlink"/>
          </w:rPr>
          <w:t xml:space="preserve">20</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56</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12</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24</w:t>
        </w:r>
      </w:hyperlink>
      <w:r>
        <w:t xml:space="preserve">]</w:t>
      </w:r>
      <w:r>
        <w:t xml:space="preserve">, and MaxBin 2 (v2.2.6)</w:t>
      </w:r>
      <w:r>
        <w:t xml:space="preserve"> </w:t>
      </w:r>
      <w:r>
        <w:t xml:space="preserve">[</w:t>
      </w:r>
      <w:hyperlink w:anchor="ref-sG4CX8Uj">
        <w:r>
          <w:rPr>
            <w:rStyle w:val="Hyperlink"/>
          </w:rPr>
          <w:t xml:space="preserve">25</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23</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26</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chromosomal-coverage"/>
      <w:r>
        <w:t xml:space="preserve">Chromosomal Coverage</w:t>
      </w:r>
      <w:bookmarkEnd w:id="50"/>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57</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close relatives in the metagenome on ability to bin chromosomes we generated a phylogenetic tree for all the input genomes.</w:t>
      </w:r>
      <w:r>
        <w:t xml:space="preserve"> </w:t>
      </w:r>
      <w:r>
        <w:t xml:space="preserve">Specifically, single copy universal bacterial proteins were identified in the reference genomes using BUSCO v4.0.2 with the Bacteria Odb10 data</w:t>
      </w:r>
      <w:r>
        <w:t xml:space="preserve"> </w:t>
      </w:r>
      <w:r>
        <w:t xml:space="preserve">[</w:t>
      </w:r>
      <w:hyperlink w:anchor="ref-S53q1T30">
        <w:r>
          <w:rPr>
            <w:rStyle w:val="Hyperlink"/>
          </w:rPr>
          <w:t xml:space="preserve">58</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59</w:t>
        </w:r>
      </w:hyperlink>
      <w:r>
        <w:t xml:space="preserve">]</w:t>
      </w:r>
      <w:r>
        <w:t xml:space="preserve"> </w:t>
      </w:r>
      <w:r>
        <w:t xml:space="preserve">and masked with trimal v1.4.1-3</w:t>
      </w:r>
      <w:r>
        <w:t xml:space="preserve"> </w:t>
      </w:r>
      <w:r>
        <w:t xml:space="preserve">[</w:t>
      </w:r>
      <w:hyperlink w:anchor="ref-GCsU1nyf">
        <w:r>
          <w:rPr>
            <w:rStyle w:val="Hyperlink"/>
          </w:rPr>
          <w:t xml:space="preserve">60</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61</w:t>
        </w:r>
      </w:hyperlink>
      <w:r>
        <w:t xml:space="preserve">]</w:t>
      </w:r>
      <w:r>
        <w:t xml:space="preserve"> </w:t>
      </w:r>
      <w:r>
        <w:t xml:space="preserve">using the in-built ModelFinder determined partitioning</w:t>
      </w:r>
      <w:r>
        <w:t xml:space="preserve"> </w:t>
      </w:r>
      <w:r>
        <w:t xml:space="preserve">[</w:t>
      </w:r>
      <w:hyperlink w:anchor="ref-P9j0gC8x">
        <w:r>
          <w:rPr>
            <w:rStyle w:val="Hyperlink"/>
          </w:rPr>
          <w:t xml:space="preserve">62</w:t>
        </w:r>
      </w:hyperlink>
      <w:r>
        <w:t xml:space="preserve">]</w:t>
      </w:r>
      <w:r>
        <w:t xml:space="preserve"> </w:t>
      </w:r>
      <w:r>
        <w:t xml:space="preserve">and visualised using the interative Tree of Life (iToL) v4</w:t>
      </w:r>
      <w:r>
        <w:t xml:space="preserve"> </w:t>
      </w:r>
      <w:r>
        <w:t xml:space="preserve">[</w:t>
      </w:r>
      <w:hyperlink w:anchor="ref-1HcDy95aA">
        <w:r>
          <w:rPr>
            <w:rStyle w:val="Hyperlink"/>
          </w:rPr>
          <w:t xml:space="preserve">63</w:t>
        </w:r>
      </w:hyperlink>
      <w:r>
        <w:t xml:space="preserve">]</w:t>
      </w:r>
      <w:r>
        <w:t xml:space="preserve">.</w:t>
      </w:r>
      <w:r>
        <w:t xml:space="preserve"> </w:t>
      </w:r>
      <w:r>
        <w:t xml:space="preserve">Pairwise branch distances were then extracted from the resulting tree using ETE3 v3.1.1</w:t>
      </w:r>
      <w:r>
        <w:t xml:space="preserve"> </w:t>
      </w:r>
      <w:r>
        <w:t xml:space="preserve">[</w:t>
      </w:r>
      <w:hyperlink w:anchor="ref-5F7ii9Ji">
        <w:r>
          <w:rPr>
            <w:rStyle w:val="Hyperlink"/>
          </w:rPr>
          <w:t xml:space="preserve">64</w:t>
        </w:r>
      </w:hyperlink>
      <w:r>
        <w:t xml:space="preserve">]</w:t>
      </w:r>
      <w:r>
        <w:t xml:space="preserve"> </w:t>
      </w:r>
      <w:r>
        <w:t xml:space="preserve">and regressed using a linear model against coverage (via seaborn v0.10.0</w:t>
      </w:r>
      <w:r>
        <w:t xml:space="preserve"> </w:t>
      </w:r>
      <w:r>
        <w:t xml:space="preserve">[</w:t>
      </w:r>
      <w:hyperlink w:anchor="ref-LeLYF4iC">
        <w:r>
          <w:rPr>
            <w:rStyle w:val="Hyperlink"/>
          </w:rPr>
          <w:t xml:space="preserve">65</w:t>
        </w:r>
      </w:hyperlink>
      <w:r>
        <w:t xml:space="preserve">]</w:t>
      </w:r>
      <w:r>
        <w:t xml:space="preserve">) and using a poisson logistic regression model (via statsmodel v0.12.0</w:t>
      </w:r>
      <w:r>
        <w:t xml:space="preserve"> </w:t>
      </w:r>
      <w:r>
        <w:t xml:space="preserve">[</w:t>
      </w:r>
      <w:hyperlink w:anchor="ref-15kEEkiul">
        <w:r>
          <w:rPr>
            <w:rStyle w:val="Hyperlink"/>
          </w:rPr>
          <w:t xml:space="preserve">66</w:t>
        </w:r>
      </w:hyperlink>
      <w:r>
        <w:t xml:space="preserve">]</w:t>
      </w:r>
      <w:r>
        <w:t xml:space="preserve"> </w:t>
      </w:r>
      <w:r>
        <w:t xml:space="preserve">against contamination. R^2 and McFadden’s pseudo-R^2 were calculated for each model respectively using the statsmodel library.</w:t>
      </w:r>
    </w:p>
    <w:p>
      <w:pPr>
        <w:pStyle w:val="Heading4"/>
      </w:pPr>
      <w:bookmarkStart w:id="51" w:name="plasmid-and-gi-coverage"/>
      <w:r>
        <w:t xml:space="preserve">Plasmid and GI Coverage</w:t>
      </w:r>
      <w:bookmarkEnd w:id="51"/>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2" w:name="Xc2b63e89516f6a9527bb9ff599c3e15cc49266b"/>
      <w:r>
        <w:t xml:space="preserve">Antimicrobial Resistance and Virulence Factors Assessment</w:t>
      </w:r>
      <w:bookmarkEnd w:id="52"/>
    </w:p>
    <w:p>
      <w:pPr>
        <w:pStyle w:val="Heading4"/>
      </w:pPr>
      <w:bookmarkStart w:id="53" w:name="detection-of-amrvf-genes"/>
      <w:r>
        <w:t xml:space="preserve">Detection of AMR/VF Genes</w:t>
      </w:r>
      <w:bookmarkEnd w:id="53"/>
    </w:p>
    <w:p>
      <w:pPr>
        <w:pStyle w:val="FirstParagraph"/>
      </w:pPr>
      <w:r>
        <w:t xml:space="preserve">For the reference genomes, as well as 12 sets of MAGs, prodigal</w:t>
      </w:r>
      <w:r>
        <w:t xml:space="preserve"> </w:t>
      </w:r>
      <w:r>
        <w:t xml:space="preserve">[</w:t>
      </w:r>
      <w:hyperlink w:anchor="ref-lX665mdh">
        <w:r>
          <w:rPr>
            <w:rStyle w:val="Hyperlink"/>
          </w:rPr>
          <w:t xml:space="preserve">67</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68</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57</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69</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4" w:name="amrvf-gene-recovery"/>
      <w:r>
        <w:t xml:space="preserve">AMR/VF Gene Recovery</w:t>
      </w:r>
      <w:bookmarkEnd w:id="54"/>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2"/>
      </w:pPr>
      <w:bookmarkStart w:id="55" w:name="results"/>
      <w:r>
        <w:t xml:space="preserve">Results</w:t>
      </w:r>
      <w:bookmarkEnd w:id="55"/>
    </w:p>
    <w:p>
      <w:pPr>
        <w:pStyle w:val="Heading3"/>
      </w:pPr>
      <w:bookmarkStart w:id="56" w:name="recovery-of-genomic-elements"/>
      <w:r>
        <w:t xml:space="preserve">Recovery of Genomic Elements</w:t>
      </w:r>
      <w:bookmarkEnd w:id="56"/>
    </w:p>
    <w:p>
      <w:pPr>
        <w:pStyle w:val="Heading4"/>
      </w:pPr>
      <w:bookmarkStart w:id="57" w:name="chromosomes"/>
      <w:r>
        <w:t xml:space="preserve">Chromosomes</w:t>
      </w:r>
      <w:bookmarkEnd w:id="57"/>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S2</w:t>
        </w:r>
      </w:hyperlink>
      <w:r>
        <w:t xml:space="preserve">).</w:t>
      </w:r>
    </w:p>
    <w:bookmarkStart w:id="0" w:name="fig:speciescov"/>
    <w:p>
      <w:pPr>
        <w:pStyle w:val="CaptionedFigure"/>
      </w:pPr>
      <w:bookmarkStart w:id="59"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8"/>
                    <a:stretch>
                      <a:fillRect/>
                    </a:stretch>
                  </pic:blipFill>
                  <pic:spPr bwMode="auto">
                    <a:xfrm>
                      <a:off x="0" y="0"/>
                      <a:ext cx="5943600" cy="2641600"/>
                    </a:xfrm>
                    <a:prstGeom prst="rect">
                      <a:avLst/>
                    </a:prstGeom>
                    <a:noFill/>
                    <a:ln w="9525">
                      <a:noFill/>
                      <a:headEnd/>
                      <a:tailEnd/>
                    </a:ln>
                  </pic:spPr>
                </pic:pic>
              </a:graphicData>
            </a:graphic>
          </wp:inline>
        </w:drawing>
      </w:r>
      <w:bookmarkEnd w:id="59"/>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Looking at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1"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0"/>
                    <a:stretch>
                      <a:fillRect/>
                    </a:stretch>
                  </pic:blipFill>
                  <pic:spPr bwMode="auto">
                    <a:xfrm>
                      <a:off x="0" y="0"/>
                      <a:ext cx="5943600" cy="5483776"/>
                    </a:xfrm>
                    <a:prstGeom prst="rect">
                      <a:avLst/>
                    </a:prstGeom>
                    <a:noFill/>
                    <a:ln w="9525">
                      <a:noFill/>
                      <a:headEnd/>
                      <a:tailEnd/>
                    </a:ln>
                  </pic:spPr>
                </pic:pic>
              </a:graphicData>
            </a:graphic>
          </wp:inline>
        </w:drawing>
      </w:r>
      <w:bookmarkEnd w:id="61"/>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potentially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S3</w:t>
        </w:r>
      </w:hyperlink>
      <w:r>
        <w:t xml:space="preserve">), however, the proportion of variance explained by the regressions were very low for both analyses.</w:t>
      </w:r>
      <w:r>
        <w:t xml:space="preserve"> </w:t>
      </w:r>
      <w:r>
        <w:t xml:space="preserve">There was not a clear relationship between coverage of a bin and purity with frequent observations of low purity but high coverage bins and pure but low coverage bins.</w:t>
      </w:r>
    </w:p>
    <w:p>
      <w:pPr>
        <w:pStyle w:val="Heading4"/>
      </w:pPr>
      <w:bookmarkStart w:id="62" w:name="plasmids"/>
      <w:r>
        <w:t xml:space="preserve">Plasmids</w:t>
      </w:r>
      <w:bookmarkEnd w:id="62"/>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4"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3"/>
                    <a:stretch>
                      <a:fillRect/>
                    </a:stretch>
                  </pic:blipFill>
                  <pic:spPr bwMode="auto">
                    <a:xfrm>
                      <a:off x="0" y="0"/>
                      <a:ext cx="5943600" cy="2641600"/>
                    </a:xfrm>
                    <a:prstGeom prst="rect">
                      <a:avLst/>
                    </a:prstGeom>
                    <a:noFill/>
                    <a:ln w="9525">
                      <a:noFill/>
                      <a:headEnd/>
                      <a:tailEnd/>
                    </a:ln>
                  </pic:spPr>
                </pic:pic>
              </a:graphicData>
            </a:graphic>
          </wp:inline>
        </w:drawing>
      </w:r>
      <w:bookmarkEnd w:id="64"/>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5" w:name="genomic-islands"/>
      <w:r>
        <w:t xml:space="preserve">Genomic Islands</w:t>
      </w:r>
      <w:bookmarkEnd w:id="65"/>
    </w:p>
    <w:p>
      <w:pPr>
        <w:pStyle w:val="FirstParagraph"/>
      </w:pPr>
      <w:r>
        <w:t xml:space="preserve">GIs were poorly assembled and correctly binned across methods (Fig.</w:t>
      </w:r>
      <w:r>
        <w:t xml:space="preserve"> </w:t>
      </w:r>
      <w:hyperlink w:anchor="fig:gis">
        <w:r>
          <w:rPr>
            <w:rStyle w:val="Hyperlink"/>
          </w:rPr>
          <w:t xml:space="preserve">4</w:t>
        </w:r>
      </w:hyperlink>
      <w:r>
        <w:t xml:space="preserve">), although unlike plasmids different methods were generally more equivalent.</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7"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6"/>
                    <a:stretch>
                      <a:fillRect/>
                    </a:stretch>
                  </pic:blipFill>
                  <pic:spPr bwMode="auto">
                    <a:xfrm>
                      <a:off x="0" y="0"/>
                      <a:ext cx="5943600" cy="2641600"/>
                    </a:xfrm>
                    <a:prstGeom prst="rect">
                      <a:avLst/>
                    </a:prstGeom>
                    <a:noFill/>
                    <a:ln w="9525">
                      <a:noFill/>
                      <a:headEnd/>
                      <a:tailEnd/>
                    </a:ln>
                  </pic:spPr>
                </pic:pic>
              </a:graphicData>
            </a:graphic>
          </wp:inline>
        </w:drawing>
      </w:r>
      <w:bookmarkEnd w:id="67"/>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8" w:name="amr-genes"/>
      <w:r>
        <w:t xml:space="preserve">AMR Genes</w:t>
      </w:r>
      <w:bookmarkEnd w:id="68"/>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maxbin2-IDBA-UDA pair (24%) and highest in the CONCOCT-metaSPAdes pipeline (40%).</w:t>
      </w:r>
    </w:p>
    <w:bookmarkStart w:id="0" w:name="fig:AMRGenePercentRecoveryStageContext"/>
    <w:p>
      <w:pPr>
        <w:pStyle w:val="CaptionedFigure"/>
      </w:pPr>
      <w:bookmarkStart w:id="70"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69"/>
                    <a:stretch>
                      <a:fillRect/>
                    </a:stretch>
                  </pic:blipFill>
                  <pic:spPr bwMode="auto">
                    <a:xfrm>
                      <a:off x="0" y="0"/>
                      <a:ext cx="5943600" cy="5492410"/>
                    </a:xfrm>
                    <a:prstGeom prst="rect">
                      <a:avLst/>
                    </a:prstGeom>
                    <a:noFill/>
                    <a:ln w="9525">
                      <a:noFill/>
                      <a:headEnd/>
                      <a:tailEnd/>
                    </a:ln>
                  </pic:spPr>
                </pic:pic>
              </a:graphicData>
            </a:graphic>
          </wp:inline>
        </w:drawing>
      </w:r>
      <w:bookmarkEnd w:id="70"/>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1" w:name="virulence-factor-genes"/>
      <w:r>
        <w:t xml:space="preserve">Virulence Factor Genes</w:t>
      </w:r>
      <w:bookmarkEnd w:id="71"/>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3"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2"/>
                    <a:stretch>
                      <a:fillRect/>
                    </a:stretch>
                  </pic:blipFill>
                  <pic:spPr bwMode="auto">
                    <a:xfrm>
                      <a:off x="0" y="0"/>
                      <a:ext cx="5943600" cy="5462697"/>
                    </a:xfrm>
                    <a:prstGeom prst="rect">
                      <a:avLst/>
                    </a:prstGeom>
                    <a:noFill/>
                    <a:ln w="9525">
                      <a:noFill/>
                      <a:headEnd/>
                      <a:tailEnd/>
                    </a:ln>
                  </pic:spPr>
                </pic:pic>
              </a:graphicData>
            </a:graphic>
          </wp:inline>
        </w:drawing>
      </w:r>
      <w:bookmarkEnd w:id="73"/>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4" w:name="comparisons-of-rates-of-loss"/>
      <w:r>
        <w:t xml:space="preserve">Comparisons of Rates of Loss</w:t>
      </w:r>
      <w:bookmarkEnd w:id="74"/>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S5</w:t>
        </w:r>
      </w:hyperlink>
      <w:r>
        <w:t xml:space="preserve">).</w:t>
      </w:r>
      <w:r>
        <w:t xml:space="preserve"> </w:t>
      </w:r>
      <w:r>
        <w:t xml:space="preserve">This highlighted that genomic components (GIs and plasmids) and plasmids in particular are lost at a disproportionately higher rate than individual gene types during MAG recovery.</w:t>
      </w:r>
      <w:r>
        <w:t xml:space="preserve"> </w:t>
      </w:r>
      <w:r>
        <w:t xml:space="preserve">This also emphasises that better metagenomic assembly doesn’t necessarily result in better binning of GIs and plasmids.</w:t>
      </w:r>
      <w:r>
        <w:t xml:space="preserve"> </w:t>
      </w:r>
      <w:r>
        <w:t xml:space="preserve">Moreover, by analysing the distribution of our synthetically generated reads to chromosomes, genomic islands and plasmids, we found that the coverage of our synthetic metagenome reads achieved &gt;96% on average across all reference genomes. Plasmids had the highest coverage and sequencing depth (98.4%) while GIs had the lowest (95.8%), however GIs and plasmids exhibited a higher variability in coverage and depth. (Fig.</w:t>
      </w:r>
      <w:r>
        <w:t xml:space="preserve"> </w:t>
      </w:r>
      <w:hyperlink w:anchor="fig:avgcoverage">
        <w:r>
          <w:rPr>
            <w:rStyle w:val="Hyperlink"/>
          </w:rPr>
          <w:t xml:space="preserve">7</w:t>
        </w:r>
      </w:hyperlink>
      <w:r>
        <w:t xml:space="preserve"> </w:t>
      </w:r>
      <w:r>
        <w:t xml:space="preserve">and Sup. Fig. [S5] ?? and [S6] ??)</w:t>
      </w:r>
    </w:p>
    <w:bookmarkStart w:id="0" w:name="fig:avgcoverage"/>
    <w:p>
      <w:pPr>
        <w:pStyle w:val="CaptionedFigure"/>
      </w:pPr>
      <w:bookmarkStart w:id="76" w:name="fig:avgcoverage"/>
      <w:r>
        <w:drawing>
          <wp:inline>
            <wp:extent cx="5266210" cy="3669832"/>
            <wp:effectExtent b="0" l="0" r="0" t="0"/>
            <wp:docPr descr="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 title="" id="1" name="Picture"/>
            <a:graphic>
              <a:graphicData uri="http://schemas.openxmlformats.org/drawingml/2006/picture">
                <pic:pic>
                  <pic:nvPicPr>
                    <pic:cNvPr descr="images/AvgCoverage.png" id="0" name="Picture"/>
                    <pic:cNvPicPr>
                      <a:picLocks noChangeArrowheads="1" noChangeAspect="1"/>
                    </pic:cNvPicPr>
                  </pic:nvPicPr>
                  <pic:blipFill>
                    <a:blip r:embed="rId75"/>
                    <a:stretch>
                      <a:fillRect/>
                    </a:stretch>
                  </pic:blipFill>
                  <pic:spPr bwMode="auto">
                    <a:xfrm>
                      <a:off x="0" y="0"/>
                      <a:ext cx="5266210" cy="3669832"/>
                    </a:xfrm>
                    <a:prstGeom prst="rect">
                      <a:avLst/>
                    </a:prstGeom>
                    <a:noFill/>
                    <a:ln w="9525">
                      <a:noFill/>
                      <a:headEnd/>
                      <a:tailEnd/>
                    </a:ln>
                  </pic:spPr>
                </pic:pic>
              </a:graphicData>
            </a:graphic>
          </wp:inline>
        </w:drawing>
      </w:r>
      <w:bookmarkEnd w:id="76"/>
    </w:p>
    <w:p>
      <w:pPr>
        <w:pStyle w:val="ImageCaption"/>
      </w:pPr>
      <w:r>
        <w:t xml:space="preserve">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w:t>
      </w:r>
    </w:p>
    <w:bookmarkEnd w:id="0"/>
    <w:p>
      <w:pPr>
        <w:pStyle w:val="Heading2"/>
      </w:pPr>
      <w:bookmarkStart w:id="77" w:name="discussion"/>
      <w:r>
        <w:t xml:space="preserve">Discussion</w:t>
      </w:r>
      <w:bookmarkEnd w:id="77"/>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the presence of closely related genomes may have impacted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S2</w:t>
        </w:r>
      </w:hyperlink>
      <w:r>
        <w:t xml:space="preserve">,</w:t>
      </w:r>
      <w:r>
        <w:t xml:space="preserve"> </w:t>
      </w:r>
      <w:hyperlink w:anchor="fig:purityphylo">
        <w:r>
          <w:rPr>
            <w:rStyle w:val="Hyperlink"/>
          </w:rPr>
          <w:t xml:space="preserve">S3</w:t>
        </w:r>
      </w:hyperlink>
      <w:r>
        <w:t xml:space="preserve">).</w:t>
      </w:r>
      <w:r>
        <w:t xml:space="preserve"> </w:t>
      </w:r>
      <w:r>
        <w:t xml:space="preserve">The trade-off between false positives and sensitivity in the binning of closely related sequences is definitely an area in need of further exploration.</w:t>
      </w:r>
      <w:r>
        <w:br/>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53</w:t>
        </w:r>
      </w:hyperlink>
      <w:r>
        <w:t xml:space="preserve">]</w:t>
      </w:r>
      <w:r>
        <w:t xml:space="preserve">.</w:t>
      </w:r>
      <w:r>
        <w:t xml:space="preserve"> </w:t>
      </w:r>
      <w:r>
        <w:t xml:space="preserve">Therefore, binning efficiency might improve with use of long-read sequencing or assembly methods optimised for the assembly and binning of plasmids sequences</w:t>
      </w:r>
      <w:r>
        <w:t xml:space="preserve"> </w:t>
      </w:r>
      <w:r>
        <w:t xml:space="preserve">[</w:t>
      </w:r>
      <w:hyperlink w:anchor="ref-12zFifp5x">
        <w:r>
          <w:rPr>
            <w:rStyle w:val="Hyperlink"/>
          </w:rPr>
          <w:t xml:space="preserve">53</w:t>
        </w:r>
      </w:hyperlink>
      <w:r>
        <w:t xml:space="preserve">]</w:t>
      </w:r>
      <w:r>
        <w:t xml:space="preserve"> </w:t>
      </w:r>
      <w:r>
        <w:t xml:space="preserve">(such as SCAPP</w:t>
      </w:r>
      <w:r>
        <w:t xml:space="preserve"> </w:t>
      </w:r>
      <w:r>
        <w:t xml:space="preserve">[</w:t>
      </w:r>
      <w:hyperlink w:anchor="ref-5bpLJeyh">
        <w:r>
          <w:rPr>
            <w:rStyle w:val="Hyperlink"/>
          </w:rPr>
          <w:t xml:space="preserve">70</w:t>
        </w:r>
      </w:hyperlink>
      <w:r>
        <w:t xml:space="preserve">]</w:t>
      </w:r>
      <w:r>
        <w:t xml:space="preserve">).</w:t>
      </w:r>
      <w:r>
        <w:t xml:space="preserve"> </w:t>
      </w:r>
      <w:r>
        <w:t xml:space="preserve">Despite its lower effective sequencing depth and higher error rates, incorporating long-read data has been shown to improve overall MAG binning</w:t>
      </w:r>
      <w:r>
        <w:t xml:space="preserve"> </w:t>
      </w:r>
      <w:r>
        <w:t xml:space="preserve">[</w:t>
      </w:r>
      <w:hyperlink w:anchor="ref-GW6Ed5Sw">
        <w:r>
          <w:rPr>
            <w:rStyle w:val="Hyperlink"/>
          </w:rPr>
          <w:t xml:space="preserve">71</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72</w:t>
        </w:r>
      </w:hyperlink>
      <w:r>
        <w:t xml:space="preserve">]</w:t>
      </w:r>
      <w:r>
        <w:t xml:space="preserve">, that short-reads alone may not be able to.</w:t>
      </w:r>
      <w:r>
        <w:t xml:space="preserve"> </w:t>
      </w:r>
      <w:r>
        <w:t xml:space="preserve">It is important, however, to note that the promising improvement of MAG analysis using long-read data, whether independently or through a hybrid method with short-reads, relies on adequate read quality and the appropriate selection of sequence analysis tools optimized for long-read data.</w:t>
      </w:r>
      <w:r>
        <w:t xml:space="preserve"> </w:t>
      </w:r>
      <w:r>
        <w:t xml:space="preserve">Further research is needed to fully characterise the performance of different long-read protocols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73</w:t>
        </w:r>
      </w:hyperlink>
      <w:r>
        <w:t xml:space="preserve">–</w:t>
      </w:r>
      <w:hyperlink w:anchor="ref-WJT5of5h">
        <w:r>
          <w:rPr>
            <w:rStyle w:val="Hyperlink"/>
          </w:rPr>
          <w:t xml:space="preserve">77</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oxacillinases (OXA) and</w:t>
      </w:r>
      <w:r>
        <w:t xml:space="preserve"> </w:t>
      </w:r>
      <w:r>
        <w:rPr>
          <w:i/>
        </w:rPr>
        <w:t xml:space="preserve">Klebsiella pneumoniae</w:t>
      </w:r>
      <w:r>
        <w:t xml:space="preserve"> </w:t>
      </w:r>
      <w:r>
        <w:t xml:space="preserve">carbapenemases (KPC).</w:t>
      </w:r>
      <w:r>
        <w:t xml:space="preserve"> </w:t>
      </w:r>
      <w:r>
        <w:t xml:space="preserve">One potential caveat of this is that some AMR genes and VFs may no longer be detectable in MAGs due to issues with ORF prediction (see suppl. discussion &amp; Fig.</w:t>
      </w:r>
      <w:r>
        <w:t xml:space="preserve"> </w:t>
      </w:r>
      <w:r>
        <w:t xml:space="preserve">3](#fig:geneContent)).</w:t>
      </w:r>
      <w:r>
        <w:t xml:space="preserve"> </w:t>
      </w:r>
      <w:r>
        <w:t xml:space="preserve">We observed a higher variability in both the read depth and read coverage in MGEs regions (Fig.</w:t>
      </w:r>
      <w:r>
        <w:t xml:space="preserve"> </w:t>
      </w:r>
      <w:hyperlink w:anchor="fig:avgcoverage">
        <w:r>
          <w:rPr>
            <w:rStyle w:val="Hyperlink"/>
          </w:rPr>
          <w:t xml:space="preserve">7</w:t>
        </w:r>
      </w:hyperlink>
      <w:r>
        <w:t xml:space="preserve"> </w:t>
      </w:r>
      <w:r>
        <w:t xml:space="preserve">and Sup. Fig. [S5] ?? and [S6] ??). This, combined with previous studies observing fragmented ORG predictions in draft genomes, can lead to downstream over- or under-annotation with functional labels depending on the approach used</w:t>
      </w:r>
      <w:r>
        <w:t xml:space="preserve"> </w:t>
      </w:r>
      <w:r>
        <w:t xml:space="preserve">[</w:t>
      </w:r>
      <w:hyperlink w:anchor="ref-1EZyZrHhJ">
        <w:r>
          <w:rPr>
            <w:rStyle w:val="Hyperlink"/>
          </w:rPr>
          <w:t xml:space="preserve">78</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79</w:t>
        </w:r>
      </w:hyperlink>
      <w:r>
        <w:t xml:space="preserve">–</w:t>
      </w:r>
      <w:hyperlink w:anchor="ref-mUmGRb3J">
        <w:r>
          <w:rPr>
            <w:rStyle w:val="Hyperlink"/>
          </w:rPr>
          <w:t xml:space="preserve">81</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82</w:t>
        </w:r>
      </w:hyperlink>
      <w:r>
        <w:t xml:space="preserve">–</w:t>
      </w:r>
      <w:hyperlink w:anchor="ref-69R3Dd1j">
        <w:r>
          <w:rPr>
            <w:rStyle w:val="Hyperlink"/>
          </w:rPr>
          <w:t xml:space="preserve">85</w:t>
        </w:r>
      </w:hyperlink>
      <w:r>
        <w:t xml:space="preserve">]</w:t>
      </w:r>
      <w:r>
        <w:t xml:space="preserve">.</w:t>
      </w:r>
      <w:r>
        <w:t xml:space="preserve"> </w:t>
      </w:r>
      <w:r>
        <w:t xml:space="preserve">In addition, MGEs such as GIs and plasmids are known to recombine, producing closely related variants</w:t>
      </w:r>
      <w:r>
        <w:t xml:space="preserve"> </w:t>
      </w:r>
      <w:r>
        <w:t xml:space="preserve">[</w:t>
      </w:r>
      <w:hyperlink w:anchor="ref-1G6diFMw9">
        <w:r>
          <w:rPr>
            <w:rStyle w:val="Hyperlink"/>
          </w:rPr>
          <w:t xml:space="preserve">86</w:t>
        </w:r>
      </w:hyperlink>
      <w:r>
        <w:t xml:space="preserve">–</w:t>
      </w:r>
      <w:hyperlink w:anchor="ref-4A1l9TZE">
        <w:r>
          <w:rPr>
            <w:rStyle w:val="Hyperlink"/>
          </w:rPr>
          <w:t xml:space="preserve">88</w:t>
        </w:r>
      </w:hyperlink>
      <w:r>
        <w:t xml:space="preserve">]</w:t>
      </w:r>
      <w:r>
        <w:t xml:space="preserve"> </w:t>
      </w:r>
      <w:r>
        <w:t xml:space="preserve">that could further complicate assembly from a metagenomic sample.</w:t>
      </w:r>
      <w:r>
        <w:t xml:space="preserve"> </w:t>
      </w:r>
      <w:r>
        <w:t xml:space="preserve">Polymorphic MGEs were not deliberately introduced in our simulated metagenome.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32</w:t>
        </w:r>
      </w:hyperlink>
      <w:r>
        <w:t xml:space="preserve">,</w:t>
      </w:r>
      <w:r>
        <w:t xml:space="preserve"> </w:t>
      </w:r>
      <w:hyperlink w:anchor="ref-18qKF2jNL">
        <w:r>
          <w:rPr>
            <w:rStyle w:val="Hyperlink"/>
          </w:rPr>
          <w:t xml:space="preserve">89</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90</w:t>
        </w:r>
      </w:hyperlink>
      <w:r>
        <w:t xml:space="preserve">]</w:t>
      </w:r>
      <w:r>
        <w:t xml:space="preserve">), could provide a key resource to develop and validate new binning approaches and different sequencing strategies.</w:t>
      </w:r>
      <w:r>
        <w:t xml:space="preserve"> </w:t>
      </w:r>
      <w:r>
        <w:t xml:space="preserve">Additionally, it would provide a way to further optimise parameter settings of existing metagenomic assembly and binning tools beyond the default settings used in these analyses (considered representative of most</w:t>
      </w:r>
      <w:r>
        <w:t xml:space="preserve"> </w:t>
      </w:r>
      <w:r>
        <w:t xml:space="preserve">“</w:t>
      </w:r>
      <w:r>
        <w:t xml:space="preserve">real-world</w:t>
      </w:r>
      <w:r>
        <w:t xml:space="preserve">”</w:t>
      </w:r>
      <w:r>
        <w:t xml:space="preserve"> </w:t>
      </w:r>
      <w:r>
        <w:t xml:space="preserve">usage</w:t>
      </w:r>
      <w:r>
        <w:t xml:space="preserve"> </w:t>
      </w:r>
      <w:r>
        <w:t xml:space="preserve">[</w:t>
      </w:r>
      <w:hyperlink w:anchor="ref-1G5MoLsVr">
        <w:r>
          <w:rPr>
            <w:rStyle w:val="Hyperlink"/>
          </w:rPr>
          <w:t xml:space="preserve">91</w:t>
        </w:r>
      </w:hyperlink>
      <w:r>
        <w:t xml:space="preserve">]</w:t>
      </w:r>
      <w:r>
        <w:t xml:space="preserve">) without overfitting to a particular metagenome.</w:t>
      </w:r>
    </w:p>
    <w:p>
      <w:pPr>
        <w:pStyle w:val="BodyText"/>
      </w:pPr>
      <w:r>
        <w:t xml:space="preserve">This study has shown that MAG-based approaches provide a useful tool to study a bacterial species’ core chromosomal elements, but have severe limitations in the recovery of MGEs, despite of seuqence quality and coverage.</w:t>
      </w:r>
      <w:r>
        <w:t xml:space="preserve"> </w:t>
      </w:r>
      <w:r>
        <w:t xml:space="preserve">The majority of these MGEs will either fail to be assembled or be incorrectly binned without further optimization of methods for plasmid-specific or GI-specific recovery while minimizing type I error.</w:t>
      </w:r>
      <w:r>
        <w:t xml:space="preserve"> </w:t>
      </w:r>
      <w:r>
        <w:t xml:space="preserve">The consequence of this is the disproportionate loss of key public-health MGE-associated VFs and AMR genes that may be crucial markers for monitoring the spread of virulence and resistance among clinically important pathogens.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36</w:t>
        </w:r>
      </w:hyperlink>
      <w:r>
        <w:t xml:space="preserve">,</w:t>
      </w:r>
      <w:r>
        <w:t xml:space="preserve"> </w:t>
      </w:r>
      <w:hyperlink w:anchor="ref-x7HhCKyS">
        <w:r>
          <w:rPr>
            <w:rStyle w:val="Hyperlink"/>
          </w:rPr>
          <w:t xml:space="preserve">37</w:t>
        </w:r>
      </w:hyperlink>
      <w:r>
        <w:t xml:space="preserve">]</w:t>
      </w:r>
      <w:r>
        <w:t xml:space="preserve"> </w:t>
      </w:r>
      <w:r>
        <w:t xml:space="preserve">it is critical to highlight that MAG approaches alone are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92</w:t>
        </w:r>
      </w:hyperlink>
      <w:r>
        <w:t xml:space="preserve">]</w:t>
      </w:r>
      <w:r>
        <w:t xml:space="preserve">, long-read sequencing, plasmid specialised assembly approaches</w:t>
      </w:r>
      <w:r>
        <w:t xml:space="preserve"> </w:t>
      </w:r>
      <w:r>
        <w:t xml:space="preserve">[</w:t>
      </w:r>
      <w:hyperlink w:anchor="ref-5bpLJeyh">
        <w:r>
          <w:rPr>
            <w:rStyle w:val="Hyperlink"/>
          </w:rPr>
          <w:t xml:space="preserve">70</w:t>
        </w:r>
      </w:hyperlink>
      <w:r>
        <w:t xml:space="preserve">]</w:t>
      </w:r>
      <w:r>
        <w:t xml:space="preserve">, and read-based sequence homology search</w:t>
      </w:r>
      <w:r>
        <w:t xml:space="preserve"> </w:t>
      </w:r>
      <w:r>
        <w:t xml:space="preserve">[</w:t>
      </w:r>
      <w:hyperlink w:anchor="ref-4R96QRcV">
        <w:r>
          <w:rPr>
            <w:rStyle w:val="Hyperlink"/>
          </w:rPr>
          <w:t xml:space="preserve">11</w:t>
        </w:r>
      </w:hyperlink>
      <w:r>
        <w:t xml:space="preserve">]</w:t>
      </w:r>
      <w:r>
        <w:t xml:space="preserve">) before drawing biological or epidemiological conclusions.</w:t>
      </w:r>
    </w:p>
    <w:p>
      <w:pPr>
        <w:pStyle w:val="Heading2"/>
      </w:pPr>
      <w:bookmarkStart w:id="78" w:name="supplementals"/>
      <w:r>
        <w:t xml:space="preserve">Supplementary Information</w:t>
      </w:r>
      <w:bookmarkEnd w:id="78"/>
    </w:p>
    <w:p>
      <w:pPr>
        <w:pStyle w:val="Heading3"/>
      </w:pPr>
      <w:bookmarkStart w:id="79" w:name="impact-of-related-genomes-on-mag-binning"/>
      <w:r>
        <w:t xml:space="preserve">Impact of Related Genomes on MAG binning</w:t>
      </w:r>
      <w:bookmarkEnd w:id="79"/>
    </w:p>
    <w:p>
      <w:pPr>
        <w:pStyle w:val="FirstParagraph"/>
      </w:pPr>
      <w:r>
        <w:t xml:space="preserve">By generating a phylogeny of universal single copy genes in our input genomes (Fig.</w:t>
      </w:r>
      <w:r>
        <w:t xml:space="preserve"> </w:t>
      </w:r>
      <w:hyperlink w:anchor="fig:phylo">
        <w:r>
          <w:rPr>
            <w:rStyle w:val="Hyperlink"/>
          </w:rPr>
          <w:t xml:space="preserve">S1</w:t>
        </w:r>
      </w:hyperlink>
      <w:r>
        <w:t xml:space="preserve">)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S2</w:t>
        </w:r>
      </w:hyperlink>
      <w:r>
        <w:t xml:space="preserve">) and bin purity (Fig.</w:t>
      </w:r>
      <w:r>
        <w:t xml:space="preserve"> </w:t>
      </w:r>
      <w:hyperlink w:anchor="fig:purityphylo">
        <w:r>
          <w:rPr>
            <w:rStyle w:val="Hyperlink"/>
          </w:rPr>
          <w:t xml:space="preserve">S3</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S2</w:t>
        </w:r>
      </w:hyperlink>
      <w:r>
        <w:t xml:space="preserve">), however, there did seem to be a weak potential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p>
      <w:pPr>
        <w:pStyle w:val="BodyText"/>
      </w:pPr>
      <w:r>
        <w:t xml:space="preserve">Unrooted universal single-copy gene concatenation maximum-likelihood (IQ-TREE) phylogeny. Percentage of ultrafast-bootstraps (n=1000) supporting each bifurcation are annotated on each node. Phylogeny was visualised using iToL.</w:t>
      </w:r>
      <w:r>
        <w:t xml:space="preserve">{#fig:phylo, tag="S1}</w:t>
      </w:r>
    </w:p>
    <w:bookmarkStart w:id="0" w:name="fig:coverphylo,"/>
    <w:p>
      <w:pPr>
        <w:pStyle w:val="CaptionedFigure"/>
      </w:pPr>
      <w:bookmarkStart w:id="80" w:name="fig:coverphylo,"/>
      <w:r>
        <w:t xml:space="preserve">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w:t>
      </w:r>
      <w:bookmarkEnd w:id="80"/>
    </w:p>
    <w:p>
      <w:pPr>
        <w:pStyle w:val="ImageCaption"/>
      </w:pPr>
      <w:r>
        <w:t xml:space="preserve">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w:t>
      </w:r>
    </w:p>
    <w:bookmarkEnd w:id="0"/>
    <w:bookmarkStart w:id="0" w:name="fig:purityphylo,"/>
    <w:p>
      <w:pPr>
        <w:pStyle w:val="CaptionedFigure"/>
      </w:pPr>
      <w:bookmarkStart w:id="81" w:name="fig:purityphylo,"/>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w:t>
      </w:r>
      <w:bookmarkEnd w:id="81"/>
    </w:p>
    <w:p>
      <w:pPr>
        <w:pStyle w:val="ImageCaption"/>
      </w:pPr>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w:t>
      </w:r>
    </w:p>
    <w:bookmarkEnd w:id="0"/>
    <w:p>
      <w:pPr>
        <w:pStyle w:val="Heading3"/>
      </w:pPr>
      <w:bookmarkStart w:id="82" w:name="recovery-of-specific-gene-content"/>
      <w:r>
        <w:t xml:space="preserve">Recovery of Specific Gene Content</w:t>
      </w:r>
      <w:bookmarkEnd w:id="82"/>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S4</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84" w:name="fig:geneContent,"/>
      <w:r>
        <w:drawing>
          <wp:inline>
            <wp:extent cx="5943600" cy="2641600"/>
            <wp:effectExtent b="0" l="0" r="0" t="0"/>
            <wp:docPr descr="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4_number_of_predicted_genes.png" id="0" name="Picture"/>
                    <pic:cNvPicPr>
                      <a:picLocks noChangeArrowheads="1" noChangeAspect="1"/>
                    </pic:cNvPicPr>
                  </pic:nvPicPr>
                  <pic:blipFill>
                    <a:blip r:embed="rId83"/>
                    <a:stretch>
                      <a:fillRect/>
                    </a:stretch>
                  </pic:blipFill>
                  <pic:spPr bwMode="auto">
                    <a:xfrm>
                      <a:off x="0" y="0"/>
                      <a:ext cx="5943600" cy="2641600"/>
                    </a:xfrm>
                    <a:prstGeom prst="rect">
                      <a:avLst/>
                    </a:prstGeom>
                    <a:noFill/>
                    <a:ln w="9525">
                      <a:noFill/>
                      <a:headEnd/>
                      <a:tailEnd/>
                    </a:ln>
                  </pic:spPr>
                </pic:pic>
              </a:graphicData>
            </a:graphic>
          </wp:inline>
        </w:drawing>
      </w:r>
      <w:bookmarkEnd w:id="84"/>
    </w:p>
    <w:p>
      <w:pPr>
        <w:pStyle w:val="ImageCaption"/>
      </w:pPr>
      <w:r>
        <w:t xml:space="preserve">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85" w:name="comparisons-of-rates-of-loss-1"/>
      <w:r>
        <w:t xml:space="preserve">Comparisons of Rates of Loss</w:t>
      </w:r>
      <w:bookmarkEnd w:id="85"/>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S5</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87" w:name="fig:rateofloss,"/>
      <w:r>
        <w:drawing>
          <wp:inline>
            <wp:extent cx="5943600" cy="4622800"/>
            <wp:effectExtent b="0" l="0" r="0" t="0"/>
            <wp:docPr descr="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5_rate_of_loss.png" id="0" name="Picture"/>
                    <pic:cNvPicPr>
                      <a:picLocks noChangeArrowheads="1" noChangeAspect="1"/>
                    </pic:cNvPicPr>
                  </pic:nvPicPr>
                  <pic:blipFill>
                    <a:blip r:embed="rId86"/>
                    <a:stretch>
                      <a:fillRect/>
                    </a:stretch>
                  </pic:blipFill>
                  <pic:spPr bwMode="auto">
                    <a:xfrm>
                      <a:off x="0" y="0"/>
                      <a:ext cx="5943600" cy="4622800"/>
                    </a:xfrm>
                    <a:prstGeom prst="rect">
                      <a:avLst/>
                    </a:prstGeom>
                    <a:noFill/>
                    <a:ln w="9525">
                      <a:noFill/>
                      <a:headEnd/>
                      <a:tailEnd/>
                    </a:ln>
                  </pic:spPr>
                </pic:pic>
              </a:graphicData>
            </a:graphic>
          </wp:inline>
        </w:drawing>
      </w:r>
      <w:bookmarkEnd w:id="87"/>
    </w:p>
    <w:p>
      <w:pPr>
        <w:pStyle w:val="ImageCaption"/>
      </w:pPr>
      <w:r>
        <w:t xml:space="preserve">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bookmarkStart w:id="0" w:name="fig:geneContent,"/>
    <w:p>
      <w:pPr>
        <w:pStyle w:val="CaptionedFigure"/>
      </w:pPr>
      <w:bookmarkStart w:id="88" w:name="fig:geneContent,"/>
      <w:r>
        <w:t xml:space="preserve">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bookmarkEnd w:id="88"/>
    </w:p>
    <w:p>
      <w:pPr>
        <w:pStyle w:val="ImageCaption"/>
      </w:pPr>
      <w:r>
        <w:t xml:space="preserve">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bookmarkStart w:id="0" w:name="fig:geneContent,"/>
    <w:p>
      <w:pPr>
        <w:pStyle w:val="CaptionedFigure"/>
      </w:pPr>
      <w:bookmarkStart w:id="90" w:name="fig:geneContent,"/>
      <w:r>
        <w:drawing>
          <wp:inline>
            <wp:extent cx="5943600" cy="3906151"/>
            <wp:effectExtent b="0" l="0" r="0" t="0"/>
            <wp:docPr descr="Figure S4: Average Read Depth Per Species. Across all of the reference species (facet), the read depth of plasmids (orange) is considerability higher compared to chromosomes (blue), likely due to the copy number regime we used. Genomic islands (GIs; green) exhibited a relatively lower depth compared to chromosomes. The variability in depth is also higher in GIs and plasmids." title="" id="1" name="Picture"/>
            <a:graphic>
              <a:graphicData uri="http://schemas.openxmlformats.org/drawingml/2006/picture">
                <pic:pic>
                  <pic:nvPicPr>
                    <pic:cNvPr descr="images/DepthBySpp.png" id="0" name="Picture"/>
                    <pic:cNvPicPr>
                      <a:picLocks noChangeArrowheads="1" noChangeAspect="1"/>
                    </pic:cNvPicPr>
                  </pic:nvPicPr>
                  <pic:blipFill>
                    <a:blip r:embed="rId89"/>
                    <a:stretch>
                      <a:fillRect/>
                    </a:stretch>
                  </pic:blipFill>
                  <pic:spPr bwMode="auto">
                    <a:xfrm>
                      <a:off x="0" y="0"/>
                      <a:ext cx="5943600" cy="3906151"/>
                    </a:xfrm>
                    <a:prstGeom prst="rect">
                      <a:avLst/>
                    </a:prstGeom>
                    <a:noFill/>
                    <a:ln w="9525">
                      <a:noFill/>
                      <a:headEnd/>
                      <a:tailEnd/>
                    </a:ln>
                  </pic:spPr>
                </pic:pic>
              </a:graphicData>
            </a:graphic>
          </wp:inline>
        </w:drawing>
      </w:r>
      <w:bookmarkEnd w:id="90"/>
    </w:p>
    <w:p>
      <w:pPr>
        <w:pStyle w:val="ImageCaption"/>
      </w:pPr>
      <w:r>
        <w:t xml:space="preserve">Figure S4: Average Read Depth Per Species. Across all of the reference species (facet), the read depth of plasmids (orange) is considerability higher compared to chromosomes (blue), likely due to the copy number regime we used. Genomic islands (GIs; green) exhibited a relatively lower depth compared to chromosomes. The variability in depth is also higher in GIs and plasmids.</w:t>
      </w:r>
    </w:p>
    <w:bookmarkEnd w:id="0"/>
    <w:bookmarkStart w:id="0" w:name="fig:geneContent,"/>
    <w:p>
      <w:pPr>
        <w:pStyle w:val="CaptionedFigure"/>
      </w:pPr>
      <w:bookmarkStart w:id="92" w:name="fig:geneContent,"/>
      <w:r>
        <w:drawing>
          <wp:inline>
            <wp:extent cx="5943600" cy="5464355"/>
            <wp:effectExtent b="0" l="0" r="0" t="0"/>
            <wp:docPr descr="Figure S5: Per Base Read Depth Per Species. The per base (x-axis) read depth (y-axis) of each species is plotted individually. Overall, the read depth of chromosomes (blue boxes) is much lower than depth of plasmids (orange boxes), likely due to the copy number regime used. Genomic islands within the chromosome is highlighted in green. At a per base level, we not a much lower depth at the beginning and the end of each replicon as well as a higher depth variability in GIs and plasmids." title="" id="1" name="Picture"/>
            <a:graphic>
              <a:graphicData uri="http://schemas.openxmlformats.org/drawingml/2006/picture">
                <pic:pic>
                  <pic:nvPicPr>
                    <pic:cNvPr descr="images/PerBaseDepthBySpp.png" id="0" name="Picture"/>
                    <pic:cNvPicPr>
                      <a:picLocks noChangeArrowheads="1" noChangeAspect="1"/>
                    </pic:cNvPicPr>
                  </pic:nvPicPr>
                  <pic:blipFill>
                    <a:blip r:embed="rId91"/>
                    <a:stretch>
                      <a:fillRect/>
                    </a:stretch>
                  </pic:blipFill>
                  <pic:spPr bwMode="auto">
                    <a:xfrm>
                      <a:off x="0" y="0"/>
                      <a:ext cx="5943600" cy="5464355"/>
                    </a:xfrm>
                    <a:prstGeom prst="rect">
                      <a:avLst/>
                    </a:prstGeom>
                    <a:noFill/>
                    <a:ln w="9525">
                      <a:noFill/>
                      <a:headEnd/>
                      <a:tailEnd/>
                    </a:ln>
                  </pic:spPr>
                </pic:pic>
              </a:graphicData>
            </a:graphic>
          </wp:inline>
        </w:drawing>
      </w:r>
      <w:bookmarkEnd w:id="92"/>
    </w:p>
    <w:p>
      <w:pPr>
        <w:pStyle w:val="ImageCaption"/>
      </w:pPr>
      <w:r>
        <w:t xml:space="preserve">Figure S5: Per Base Read Depth Per Species. The per base (x-axis) read depth (y-axis) of each species is plotted individually. Overall, the read depth of chromosomes (blue boxes) is much lower than depth of plasmids (orange boxes), likely due to the copy number regime used. Genomic islands within the chromosome is highlighted in green. At a per base level, we not a much lower depth at the beginning and the end of each replicon as well as a higher depth variability in GIs and plasmids.</w:t>
      </w:r>
    </w:p>
    <w:bookmarkEnd w:id="0"/>
    <w:p>
      <w:pPr>
        <w:pStyle w:val="Heading2"/>
      </w:pPr>
      <w:bookmarkStart w:id="93" w:name="data-bibliography"/>
      <w:r>
        <w:t xml:space="preserve">Data Bibliography</w:t>
      </w:r>
      <w:bookmarkEnd w:id="93"/>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All analysis and plotting code used is available at</w:t>
      </w:r>
      <w:r>
        <w:t xml:space="preserve"> </w:t>
      </w:r>
      <w:hyperlink r:id="rId42">
        <w:r>
          <w:rPr>
            <w:rStyle w:val="Hyperlink"/>
          </w:rPr>
          <w:t xml:space="preserve">https://github.com/fmaguire/MAG_gi_plasmid_analysis</w:t>
        </w:r>
      </w:hyperlink>
    </w:p>
    <w:p>
      <w:pPr>
        <w:pStyle w:val="Heading2"/>
      </w:pPr>
      <w:bookmarkStart w:id="94" w:name="funding-information"/>
      <w:r>
        <w:t xml:space="preserve">Funding Information</w:t>
      </w:r>
      <w:bookmarkEnd w:id="94"/>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95" w:name="acknowledgements"/>
      <w:r>
        <w:t xml:space="preserve">Acknowledgements</w:t>
      </w:r>
      <w:bookmarkEnd w:id="95"/>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96" w:name="author-contributions"/>
      <w:r>
        <w:t xml:space="preserve">Author contributions</w:t>
      </w:r>
      <w:bookmarkEnd w:id="96"/>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investivation,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97" w:name="conflict-of-interest"/>
      <w:r>
        <w:t xml:space="preserve">Conflict of Interest</w:t>
      </w:r>
      <w:bookmarkEnd w:id="97"/>
    </w:p>
    <w:p>
      <w:pPr>
        <w:pStyle w:val="FirstParagraph"/>
      </w:pPr>
      <w:r>
        <w:t xml:space="preserve">The authors declare no competing interests.</w:t>
      </w:r>
    </w:p>
    <w:p>
      <w:pPr>
        <w:pStyle w:val="Heading2"/>
      </w:pPr>
      <w:bookmarkStart w:id="98" w:name="references"/>
      <w:r>
        <w:t xml:space="preserve">References</w:t>
      </w:r>
      <w:bookmarkEnd w:id="98"/>
    </w:p>
    <w:bookmarkStart w:id="220" w:name="refs"/>
    <w:bookmarkStart w:id="99"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99"/>
    <w:bookmarkStart w:id="100"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100"/>
    <w:bookmarkStart w:id="101"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101"/>
    <w:bookmarkStart w:id="102"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102"/>
    <w:bookmarkStart w:id="103"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103"/>
    <w:bookmarkStart w:id="104"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104"/>
    <w:bookmarkStart w:id="105" w:name="ref-19dz2SKIf"/>
    <w:p>
      <w:pPr>
        <w:pStyle w:val="Bibliography"/>
      </w:pPr>
      <w:r>
        <w:t xml:space="preserve">7.</w:t>
      </w:r>
      <w:r>
        <w:t xml:space="preserve"> </w:t>
      </w:r>
      <w:r>
        <w:rPr>
          <w:b/>
        </w:rPr>
        <w:t xml:space="preserve">Mikheyev AS, Tin MMY</w:t>
      </w:r>
      <w:r>
        <w:t xml:space="preserve">. A first look at the Oxford Nanopore MinION sequencer.</w:t>
      </w:r>
      <w:r>
        <w:t xml:space="preserve"> </w:t>
      </w:r>
      <w:r>
        <w:rPr>
          <w:i/>
        </w:rPr>
        <w:t xml:space="preserve">Molecular Ecology Resources</w:t>
      </w:r>
      <w:r>
        <w:t xml:space="preserve"> </w:t>
      </w:r>
      <w:r>
        <w:t xml:space="preserve">2014;14:1097–1102.</w:t>
      </w:r>
    </w:p>
    <w:bookmarkEnd w:id="105"/>
    <w:bookmarkStart w:id="106" w:name="ref-QbXTukk0"/>
    <w:p>
      <w:pPr>
        <w:pStyle w:val="Bibliography"/>
      </w:pPr>
      <w:r>
        <w:t xml:space="preserve">8.</w:t>
      </w:r>
      <w:r>
        <w:t xml:space="preserve"> </w:t>
      </w:r>
      <w:r>
        <w:rPr>
          <w:b/>
        </w:rPr>
        <w:t xml:space="preserve">Eid J, Fehr A, Gray J, Luong K, Lyle J</w:t>
      </w:r>
      <w:r>
        <w:rPr>
          <w:b/>
        </w:rPr>
        <w:t xml:space="preserve"> </w:t>
      </w:r>
      <w:r>
        <w:rPr>
          <w:i/>
          <w:b/>
        </w:rPr>
        <w:t xml:space="preserve">et al.</w:t>
      </w:r>
      <w:r>
        <w:t xml:space="preserve"> </w:t>
      </w:r>
      <w:r>
        <w:t xml:space="preserve">Real-Time DNA Sequencing from Single Polymerase Molecules.</w:t>
      </w:r>
      <w:r>
        <w:t xml:space="preserve"> </w:t>
      </w:r>
      <w:r>
        <w:rPr>
          <w:i/>
        </w:rPr>
        <w:t xml:space="preserve">Science</w:t>
      </w:r>
      <w:r>
        <w:t xml:space="preserve"> </w:t>
      </w:r>
      <w:r>
        <w:t xml:space="preserve">2009;323:133–138.</w:t>
      </w:r>
    </w:p>
    <w:bookmarkEnd w:id="106"/>
    <w:bookmarkStart w:id="108" w:name="ref-U4vhNZoB"/>
    <w:p>
      <w:pPr>
        <w:pStyle w:val="Bibliography"/>
      </w:pPr>
      <w:r>
        <w:t xml:space="preserve">9.</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07">
        <w:r>
          <w:rPr>
            <w:rStyle w:val="Hyperlink"/>
          </w:rPr>
          <w:t xml:space="preserve">10.1093/gigascience/giz043</w:t>
        </w:r>
      </w:hyperlink>
      <w:r>
        <w:t xml:space="preserve">.</w:t>
      </w:r>
    </w:p>
    <w:bookmarkEnd w:id="108"/>
    <w:bookmarkStart w:id="110" w:name="ref-1759XyDVi"/>
    <w:p>
      <w:pPr>
        <w:pStyle w:val="Bibliography"/>
      </w:pPr>
      <w:r>
        <w:t xml:space="preserve">10.</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09">
        <w:r>
          <w:rPr>
            <w:rStyle w:val="Hyperlink"/>
          </w:rPr>
          <w:t xml:space="preserve">10.1186/s12866-019-1500-0</w:t>
        </w:r>
      </w:hyperlink>
      <w:r>
        <w:t xml:space="preserve">.</w:t>
      </w:r>
    </w:p>
    <w:bookmarkEnd w:id="110"/>
    <w:bookmarkStart w:id="111" w:name="ref-4R96QRcV"/>
    <w:p>
      <w:pPr>
        <w:pStyle w:val="Bibliography"/>
      </w:pPr>
      <w:r>
        <w:t xml:space="preserve">11.</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11"/>
    <w:bookmarkStart w:id="112" w:name="ref-PiS0h6Mu"/>
    <w:p>
      <w:pPr>
        <w:pStyle w:val="Bibliography"/>
      </w:pPr>
      <w:r>
        <w:t xml:space="preserve">12.</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12"/>
    <w:bookmarkStart w:id="113" w:name="ref-77xWEk9S"/>
    <w:p>
      <w:pPr>
        <w:pStyle w:val="Bibliography"/>
      </w:pPr>
      <w:r>
        <w:t xml:space="preserve">13.</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13"/>
    <w:bookmarkStart w:id="115" w:name="ref-OoKZ0WcH"/>
    <w:p>
      <w:pPr>
        <w:pStyle w:val="Bibliography"/>
      </w:pPr>
      <w:r>
        <w:t xml:space="preserve">14.</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14">
        <w:r>
          <w:rPr>
            <w:rStyle w:val="Hyperlink"/>
          </w:rPr>
          <w:t xml:space="preserve">10.1186/s12864-015-1419-2</w:t>
        </w:r>
      </w:hyperlink>
      <w:r>
        <w:t xml:space="preserve">.</w:t>
      </w:r>
    </w:p>
    <w:bookmarkEnd w:id="115"/>
    <w:bookmarkStart w:id="116" w:name="ref-17Dww6tOF"/>
    <w:p>
      <w:pPr>
        <w:pStyle w:val="Bibliography"/>
      </w:pPr>
      <w:r>
        <w:t xml:space="preserve">15.</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16"/>
    <w:bookmarkStart w:id="117" w:name="ref-1BcFmOfCH"/>
    <w:p>
      <w:pPr>
        <w:pStyle w:val="Bibliography"/>
      </w:pPr>
      <w:r>
        <w:t xml:space="preserve">16.</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17"/>
    <w:bookmarkStart w:id="118" w:name="ref-SACLvb9k"/>
    <w:p>
      <w:pPr>
        <w:pStyle w:val="Bibliography"/>
      </w:pPr>
      <w:r>
        <w:t xml:space="preserve">17.</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18"/>
    <w:bookmarkStart w:id="119" w:name="ref-KP5SjPXN"/>
    <w:p>
      <w:pPr>
        <w:pStyle w:val="Bibliography"/>
      </w:pPr>
      <w:r>
        <w:t xml:space="preserve">18.</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19"/>
    <w:bookmarkStart w:id="120" w:name="ref-a4mT7fuU"/>
    <w:p>
      <w:pPr>
        <w:pStyle w:val="Bibliography"/>
      </w:pPr>
      <w:r>
        <w:t xml:space="preserve">19.</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20"/>
    <w:bookmarkStart w:id="121" w:name="ref-1EUV0Ejkr"/>
    <w:p>
      <w:pPr>
        <w:pStyle w:val="Bibliography"/>
      </w:pPr>
      <w:r>
        <w:t xml:space="preserve">20.</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21"/>
    <w:bookmarkStart w:id="122" w:name="ref-F7RexqdF"/>
    <w:p>
      <w:pPr>
        <w:pStyle w:val="Bibliography"/>
      </w:pPr>
      <w:r>
        <w:t xml:space="preserve">21.</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22"/>
    <w:bookmarkStart w:id="123" w:name="ref-wXphq8MN"/>
    <w:p>
      <w:pPr>
        <w:pStyle w:val="Bibliography"/>
      </w:pPr>
      <w:r>
        <w:t xml:space="preserve">22.</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23"/>
    <w:bookmarkStart w:id="124" w:name="ref-WRoCf6pg"/>
    <w:p>
      <w:pPr>
        <w:pStyle w:val="Bibliography"/>
      </w:pPr>
      <w:r>
        <w:t xml:space="preserve">23.</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24"/>
    <w:bookmarkStart w:id="126" w:name="ref-b2WO18xh"/>
    <w:p>
      <w:pPr>
        <w:pStyle w:val="Bibliography"/>
      </w:pPr>
      <w:r>
        <w:t xml:space="preserve">24.</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25">
        <w:r>
          <w:rPr>
            <w:rStyle w:val="Hyperlink"/>
          </w:rPr>
          <w:t xml:space="preserve">10.7287/peerj.preprints.27522v1</w:t>
        </w:r>
      </w:hyperlink>
      <w:r>
        <w:t xml:space="preserve">.</w:t>
      </w:r>
    </w:p>
    <w:bookmarkEnd w:id="126"/>
    <w:bookmarkStart w:id="127" w:name="ref-sG4CX8Uj"/>
    <w:p>
      <w:pPr>
        <w:pStyle w:val="Bibliography"/>
      </w:pPr>
      <w:r>
        <w:t xml:space="preserve">25.</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27"/>
    <w:bookmarkStart w:id="128" w:name="ref-DfIRBmdF"/>
    <w:p>
      <w:pPr>
        <w:pStyle w:val="Bibliography"/>
      </w:pPr>
      <w:r>
        <w:t xml:space="preserve">26.</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28"/>
    <w:bookmarkStart w:id="129" w:name="ref-4rsFboY4"/>
    <w:p>
      <w:pPr>
        <w:pStyle w:val="Bibliography"/>
      </w:pPr>
      <w:r>
        <w:t xml:space="preserve">27.</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29"/>
    <w:bookmarkStart w:id="130" w:name="ref-wrBRBdFb"/>
    <w:p>
      <w:pPr>
        <w:pStyle w:val="Bibliography"/>
      </w:pPr>
      <w:r>
        <w:t xml:space="preserve">28.</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30"/>
    <w:bookmarkStart w:id="132" w:name="ref-Rk2NATlI"/>
    <w:p>
      <w:pPr>
        <w:pStyle w:val="Bibliography"/>
      </w:pPr>
      <w:r>
        <w:t xml:space="preserve">29.</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31">
        <w:r>
          <w:rPr>
            <w:rStyle w:val="Hyperlink"/>
          </w:rPr>
          <w:t xml:space="preserve">10.1101/489443</w:t>
        </w:r>
      </w:hyperlink>
      <w:r>
        <w:t xml:space="preserve">.</w:t>
      </w:r>
    </w:p>
    <w:bookmarkEnd w:id="132"/>
    <w:bookmarkStart w:id="133" w:name="ref-buqrbdBh"/>
    <w:p>
      <w:pPr>
        <w:pStyle w:val="Bibliography"/>
      </w:pPr>
      <w:r>
        <w:t xml:space="preserve">30.</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33"/>
    <w:bookmarkStart w:id="134" w:name="ref-d5Hh0941"/>
    <w:p>
      <w:pPr>
        <w:pStyle w:val="Bibliography"/>
      </w:pPr>
      <w:r>
        <w:t xml:space="preserve">31.</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34"/>
    <w:bookmarkStart w:id="136" w:name="ref-Y8sHlHi"/>
    <w:p>
      <w:pPr>
        <w:pStyle w:val="Bibliography"/>
      </w:pPr>
      <w:r>
        <w:t xml:space="preserve">32.</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35">
        <w:r>
          <w:rPr>
            <w:rStyle w:val="Hyperlink"/>
          </w:rPr>
          <w:t xml:space="preserve">10.1093/gigascience/giy069</w:t>
        </w:r>
      </w:hyperlink>
      <w:r>
        <w:t xml:space="preserve">.</w:t>
      </w:r>
    </w:p>
    <w:bookmarkEnd w:id="136"/>
    <w:bookmarkStart w:id="138" w:name="ref-126oqiCuT"/>
    <w:p>
      <w:pPr>
        <w:pStyle w:val="Bibliography"/>
      </w:pPr>
      <w:r>
        <w:t xml:space="preserve">33.</w:t>
      </w:r>
      <w:r>
        <w:t xml:space="preserve"> </w:t>
      </w:r>
      <w:r>
        <w:rPr>
          <w:b/>
        </w:rPr>
        <w:t xml:space="preserve">Yue Y, Huang H, Qi Z, Dou H-M, Liu X-Y</w:t>
      </w:r>
      <w:r>
        <w:rPr>
          <w:b/>
        </w:rPr>
        <w:t xml:space="preserve"> </w:t>
      </w:r>
      <w:r>
        <w:rPr>
          <w:i/>
          <w:b/>
        </w:rPr>
        <w:t xml:space="preserve">et al.</w:t>
      </w:r>
      <w:r>
        <w:t xml:space="preserve"> </w:t>
      </w:r>
      <w:r>
        <w:t xml:space="preserve">Evaluating metagenomics tools for genome binning with real metagenomic datasets and CAMI datasets.</w:t>
      </w:r>
      <w:r>
        <w:t xml:space="preserve"> </w:t>
      </w:r>
      <w:r>
        <w:rPr>
          <w:i/>
        </w:rPr>
        <w:t xml:space="preserve">BMC Bioinformatics</w:t>
      </w:r>
      <w:r>
        <w:t xml:space="preserve">;21. Epub ahead of print 28 July 2020. DOI:</w:t>
      </w:r>
      <w:r>
        <w:t xml:space="preserve"> </w:t>
      </w:r>
      <w:hyperlink r:id="rId137">
        <w:r>
          <w:rPr>
            <w:rStyle w:val="Hyperlink"/>
          </w:rPr>
          <w:t xml:space="preserve">10.1186/s12859-020-03667-3</w:t>
        </w:r>
      </w:hyperlink>
      <w:r>
        <w:t xml:space="preserve">.</w:t>
      </w:r>
    </w:p>
    <w:bookmarkEnd w:id="138"/>
    <w:bookmarkStart w:id="139" w:name="ref-DET3tBYj"/>
    <w:p>
      <w:pPr>
        <w:pStyle w:val="Bibliography"/>
      </w:pPr>
      <w:r>
        <w:t xml:space="preserve">34.</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39"/>
    <w:bookmarkStart w:id="140" w:name="ref-1Af4oXwEX"/>
    <w:p>
      <w:pPr>
        <w:pStyle w:val="Bibliography"/>
      </w:pPr>
      <w:r>
        <w:t xml:space="preserve">35.</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40"/>
    <w:bookmarkStart w:id="141" w:name="ref-LxGqo7iq"/>
    <w:p>
      <w:pPr>
        <w:pStyle w:val="Bibliography"/>
      </w:pPr>
      <w:r>
        <w:t xml:space="preserve">36.</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41"/>
    <w:bookmarkStart w:id="143" w:name="ref-x7HhCKyS"/>
    <w:p>
      <w:pPr>
        <w:pStyle w:val="Bibliography"/>
      </w:pPr>
      <w:r>
        <w:t xml:space="preserve">37.</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42">
        <w:r>
          <w:rPr>
            <w:rStyle w:val="Hyperlink"/>
          </w:rPr>
          <w:t xml:space="preserve">10.3389/fmicb.2016.00173</w:t>
        </w:r>
      </w:hyperlink>
      <w:r>
        <w:t xml:space="preserve">.</w:t>
      </w:r>
    </w:p>
    <w:bookmarkEnd w:id="143"/>
    <w:bookmarkStart w:id="144" w:name="ref-17U91060Y"/>
    <w:p>
      <w:pPr>
        <w:pStyle w:val="Bibliography"/>
      </w:pPr>
      <w:r>
        <w:t xml:space="preserve">38.</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44"/>
    <w:bookmarkStart w:id="145" w:name="ref-AVvpww8F"/>
    <w:p>
      <w:pPr>
        <w:pStyle w:val="Bibliography"/>
      </w:pPr>
      <w:r>
        <w:t xml:space="preserve">39.</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45"/>
    <w:bookmarkStart w:id="146" w:name="ref-M1pdcdMy"/>
    <w:p>
      <w:pPr>
        <w:pStyle w:val="Bibliography"/>
      </w:pPr>
      <w:r>
        <w:t xml:space="preserve">40.</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46"/>
    <w:bookmarkStart w:id="147" w:name="ref-4eEyIkDg"/>
    <w:p>
      <w:pPr>
        <w:pStyle w:val="Bibliography"/>
      </w:pPr>
      <w:r>
        <w:t xml:space="preserve">41.</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47"/>
    <w:bookmarkStart w:id="148" w:name="ref-5g9Xc4ot"/>
    <w:p>
      <w:pPr>
        <w:pStyle w:val="Bibliography"/>
      </w:pPr>
      <w:r>
        <w:t xml:space="preserve">42.</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48"/>
    <w:bookmarkStart w:id="150" w:name="ref-qtpTcNWp"/>
    <w:p>
      <w:pPr>
        <w:pStyle w:val="Bibliography"/>
      </w:pPr>
      <w:r>
        <w:t xml:space="preserve">43.</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49">
        <w:r>
          <w:rPr>
            <w:rStyle w:val="Hyperlink"/>
          </w:rPr>
          <w:t xml:space="preserve">10.1038/s41559-016-0010</w:t>
        </w:r>
      </w:hyperlink>
      <w:r>
        <w:t xml:space="preserve">.</w:t>
      </w:r>
    </w:p>
    <w:bookmarkEnd w:id="150"/>
    <w:bookmarkStart w:id="151" w:name="ref-Z1irb7eF"/>
    <w:p>
      <w:pPr>
        <w:pStyle w:val="Bibliography"/>
      </w:pPr>
      <w:r>
        <w:t xml:space="preserve">44.</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51"/>
    <w:bookmarkStart w:id="152" w:name="ref-QK9dmRUA"/>
    <w:p>
      <w:pPr>
        <w:pStyle w:val="Bibliography"/>
      </w:pPr>
      <w:r>
        <w:t xml:space="preserve">45.</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52"/>
    <w:bookmarkStart w:id="153" w:name="ref-ps1aOiRU"/>
    <w:p>
      <w:pPr>
        <w:pStyle w:val="Bibliography"/>
      </w:pPr>
      <w:r>
        <w:t xml:space="preserve">46.</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53"/>
    <w:bookmarkStart w:id="154" w:name="ref-CZ95oNgV"/>
    <w:p>
      <w:pPr>
        <w:pStyle w:val="Bibliography"/>
      </w:pPr>
      <w:r>
        <w:t xml:space="preserve">47.</w:t>
      </w:r>
      <w:r>
        <w:t xml:space="preserve"> </w:t>
      </w:r>
      <w:r>
        <w:rPr>
          <w:b/>
        </w:rPr>
        <w:t xml:space="preserve">Daubin V, Lerat E, Perrière G</w:t>
      </w:r>
      <w:r>
        <w:t xml:space="preserve">.:{unav).</w:t>
      </w:r>
      <w:r>
        <w:t xml:space="preserve"> </w:t>
      </w:r>
      <w:r>
        <w:rPr>
          <w:i/>
        </w:rPr>
        <w:t xml:space="preserve">Genome Biology</w:t>
      </w:r>
      <w:r>
        <w:t xml:space="preserve"> </w:t>
      </w:r>
      <w:r>
        <w:t xml:space="preserve">2003;4:R57.</w:t>
      </w:r>
    </w:p>
    <w:bookmarkEnd w:id="154"/>
    <w:bookmarkStart w:id="155" w:name="ref-X9j9vETu"/>
    <w:p>
      <w:pPr>
        <w:pStyle w:val="Bibliography"/>
      </w:pPr>
      <w:r>
        <w:t xml:space="preserve">48.</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55"/>
    <w:bookmarkStart w:id="156" w:name="ref-8yaWWQ9C"/>
    <w:p>
      <w:pPr>
        <w:pStyle w:val="Bibliography"/>
      </w:pPr>
      <w:r>
        <w:t xml:space="preserve">49.</w:t>
      </w:r>
      <w:r>
        <w:t xml:space="preserve"> </w:t>
      </w:r>
      <w:r>
        <w:rPr>
          <w:b/>
        </w:rPr>
        <w:t xml:space="preserve">Williams KP</w:t>
      </w:r>
      <w:r>
        <w:t xml:space="preserve">. Integration sites for genetic elements in prokaryotic tRNA and tmRNA genes: sublocation preference of integrase subfamilies.</w:t>
      </w:r>
      <w:r>
        <w:t xml:space="preserve"> </w:t>
      </w:r>
      <w:r>
        <w:rPr>
          <w:i/>
        </w:rPr>
        <w:t xml:space="preserve">Nucleic Acids Research</w:t>
      </w:r>
      <w:r>
        <w:t xml:space="preserve"> </w:t>
      </w:r>
      <w:r>
        <w:t xml:space="preserve">2002;30:866–875.</w:t>
      </w:r>
    </w:p>
    <w:bookmarkEnd w:id="156"/>
    <w:bookmarkStart w:id="157" w:name="ref-ghwC8pm3"/>
    <w:p>
      <w:pPr>
        <w:pStyle w:val="Bibliography"/>
      </w:pPr>
      <w:r>
        <w:t xml:space="preserve">50.</w:t>
      </w:r>
      <w:r>
        <w:t xml:space="preserve"> </w:t>
      </w:r>
      <w:r>
        <w:rPr>
          <w:b/>
        </w:rPr>
        <w:t xml:space="preserve">Schmidt H, Hensel M</w:t>
      </w:r>
      <w:r>
        <w:t xml:space="preserve">. Pathogenicity Islands in Bacterial Pathogenesis.</w:t>
      </w:r>
      <w:r>
        <w:t xml:space="preserve"> </w:t>
      </w:r>
      <w:r>
        <w:rPr>
          <w:i/>
        </w:rPr>
        <w:t xml:space="preserve">Clinical Microbiology Reviews</w:t>
      </w:r>
      <w:r>
        <w:t xml:space="preserve"> </w:t>
      </w:r>
      <w:r>
        <w:t xml:space="preserve">2004;17:14–56.</w:t>
      </w:r>
    </w:p>
    <w:bookmarkEnd w:id="157"/>
    <w:bookmarkStart w:id="159" w:name="ref-DRipJnNI"/>
    <w:p>
      <w:pPr>
        <w:pStyle w:val="Bibliography"/>
      </w:pPr>
      <w:r>
        <w:t xml:space="preserve">51.</w:t>
      </w:r>
      <w:r>
        <w:t xml:space="preserve"> </w:t>
      </w:r>
      <w:r>
        <w:rPr>
          <w:b/>
        </w:rPr>
        <w:t xml:space="preserve">Acuña-Amador L, Primot A, Cadieu E, Roulet A, Barloy-Hubler F</w:t>
      </w:r>
      <w:r>
        <w:t xml:space="preserve">. Genomic repeats, misassembly and reannotation: a case study with long-read resequencing of Porphyromonas gingivalis reference strains.</w:t>
      </w:r>
      <w:r>
        <w:t xml:space="preserve"> </w:t>
      </w:r>
      <w:r>
        <w:rPr>
          <w:i/>
        </w:rPr>
        <w:t xml:space="preserve">BMC Genomics</w:t>
      </w:r>
      <w:r>
        <w:t xml:space="preserve">;19. Epub ahead of print 16 January 2018. DOI:</w:t>
      </w:r>
      <w:r>
        <w:t xml:space="preserve"> </w:t>
      </w:r>
      <w:hyperlink r:id="rId158">
        <w:r>
          <w:rPr>
            <w:rStyle w:val="Hyperlink"/>
          </w:rPr>
          <w:t xml:space="preserve">10.1186/s12864-017-4429-4</w:t>
        </w:r>
      </w:hyperlink>
      <w:r>
        <w:t xml:space="preserve">.</w:t>
      </w:r>
    </w:p>
    <w:bookmarkEnd w:id="159"/>
    <w:bookmarkStart w:id="160" w:name="ref-lsbnKJf8"/>
    <w:p>
      <w:pPr>
        <w:pStyle w:val="Bibliography"/>
      </w:pPr>
      <w:r>
        <w:t xml:space="preserve">52.</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60"/>
    <w:bookmarkStart w:id="162" w:name="ref-12zFifp5x"/>
    <w:p>
      <w:pPr>
        <w:pStyle w:val="Bibliography"/>
      </w:pPr>
      <w:r>
        <w:t xml:space="preserve">53.</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61">
        <w:r>
          <w:rPr>
            <w:rStyle w:val="Hyperlink"/>
          </w:rPr>
          <w:t xml:space="preserve">10.1099/mgen.0.000128</w:t>
        </w:r>
      </w:hyperlink>
      <w:r>
        <w:t xml:space="preserve">.</w:t>
      </w:r>
    </w:p>
    <w:bookmarkEnd w:id="162"/>
    <w:bookmarkStart w:id="163" w:name="ref-znONJtTo"/>
    <w:p>
      <w:pPr>
        <w:pStyle w:val="Bibliography"/>
      </w:pPr>
      <w:r>
        <w:t xml:space="preserve">54.</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63"/>
    <w:bookmarkStart w:id="165" w:name="ref-1CBlSILo4"/>
    <w:p>
      <w:pPr>
        <w:pStyle w:val="Bibliography"/>
      </w:pPr>
      <w:r>
        <w:t xml:space="preserve">55.</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64">
        <w:r>
          <w:rPr>
            <w:rStyle w:val="Hyperlink"/>
          </w:rPr>
          <w:t xml:space="preserve">https://github.com/najoshi/sickle</w:t>
        </w:r>
      </w:hyperlink>
      <w:r>
        <w:t xml:space="preserve"> </w:t>
      </w:r>
      <w:r>
        <w:t xml:space="preserve">(2011).</w:t>
      </w:r>
    </w:p>
    <w:bookmarkEnd w:id="165"/>
    <w:bookmarkStart w:id="166" w:name="ref-TeRvtMCl"/>
    <w:p>
      <w:pPr>
        <w:pStyle w:val="Bibliography"/>
      </w:pPr>
      <w:r>
        <w:t xml:space="preserve">56.</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66"/>
    <w:bookmarkStart w:id="167" w:name="ref-nEsJGUWa"/>
    <w:p>
      <w:pPr>
        <w:pStyle w:val="Bibliography"/>
      </w:pPr>
      <w:r>
        <w:t xml:space="preserve">57.</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67"/>
    <w:bookmarkStart w:id="168" w:name="ref-S53q1T30"/>
    <w:p>
      <w:pPr>
        <w:pStyle w:val="Bibliography"/>
      </w:pPr>
      <w:r>
        <w:t xml:space="preserve">58.</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68"/>
    <w:bookmarkStart w:id="169" w:name="ref-L3vmZEmK"/>
    <w:p>
      <w:pPr>
        <w:pStyle w:val="Bibliography"/>
      </w:pPr>
      <w:r>
        <w:t xml:space="preserve">59.</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69"/>
    <w:bookmarkStart w:id="170" w:name="ref-GCsU1nyf"/>
    <w:p>
      <w:pPr>
        <w:pStyle w:val="Bibliography"/>
      </w:pPr>
      <w:r>
        <w:t xml:space="preserve">60.</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70"/>
    <w:bookmarkStart w:id="171" w:name="ref-JOWSuu8G"/>
    <w:p>
      <w:pPr>
        <w:pStyle w:val="Bibliography"/>
      </w:pPr>
      <w:r>
        <w:t xml:space="preserve">61.</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71"/>
    <w:bookmarkStart w:id="172" w:name="ref-P9j0gC8x"/>
    <w:p>
      <w:pPr>
        <w:pStyle w:val="Bibliography"/>
      </w:pPr>
      <w:r>
        <w:t xml:space="preserve">62.</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72"/>
    <w:bookmarkStart w:id="173" w:name="ref-1HcDy95aA"/>
    <w:p>
      <w:pPr>
        <w:pStyle w:val="Bibliography"/>
      </w:pPr>
      <w:r>
        <w:t xml:space="preserve">63.</w:t>
      </w:r>
      <w:r>
        <w:t xml:space="preserve"> </w:t>
      </w:r>
      <w:r>
        <w:rPr>
          <w:b/>
        </w:rPr>
        <w:t xml:space="preserve">Letunic I, Bork P</w:t>
      </w:r>
      <w:r>
        <w:t xml:space="preserve">. Interactive Tree Of Life (iTOL) v4: recent updates and new developments.</w:t>
      </w:r>
      <w:r>
        <w:t xml:space="preserve"> </w:t>
      </w:r>
      <w:r>
        <w:rPr>
          <w:i/>
        </w:rPr>
        <w:t xml:space="preserve">Nucleic Acids Research</w:t>
      </w:r>
      <w:r>
        <w:t xml:space="preserve"> </w:t>
      </w:r>
      <w:r>
        <w:t xml:space="preserve">2019;47:W256–W259.</w:t>
      </w:r>
    </w:p>
    <w:bookmarkEnd w:id="173"/>
    <w:bookmarkStart w:id="174" w:name="ref-5F7ii9Ji"/>
    <w:p>
      <w:pPr>
        <w:pStyle w:val="Bibliography"/>
      </w:pPr>
      <w:r>
        <w:t xml:space="preserve">64.</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74"/>
    <w:bookmarkStart w:id="176" w:name="ref-LeLYF4iC"/>
    <w:p>
      <w:pPr>
        <w:pStyle w:val="Bibliography"/>
      </w:pPr>
      <w:r>
        <w:t xml:space="preserve">65.</w:t>
      </w:r>
      <w:r>
        <w:t xml:space="preserve"> </w:t>
      </w:r>
      <w:r>
        <w:rPr>
          <w:b/>
        </w:rPr>
        <w:t xml:space="preserve">Waskom M, Botvinnik O, Ostblom J, Lukauskas S, Hobson P</w:t>
      </w:r>
      <w:r>
        <w:rPr>
          <w:b/>
        </w:rPr>
        <w:t xml:space="preserve"> </w:t>
      </w:r>
      <w:r>
        <w:rPr>
          <w:i/>
          <w:b/>
        </w:rPr>
        <w:t xml:space="preserve">et al.</w:t>
      </w:r>
      <w:r>
        <w:t xml:space="preserve"> </w:t>
      </w:r>
      <w:r>
        <w:rPr>
          <w:i/>
        </w:rPr>
        <w:t xml:space="preserve">mwaskom/seaborn: v0.10.0 (January 2020)</w:t>
      </w:r>
      <w:r>
        <w:t xml:space="preserve">. Zenodo. Epub ahead of print 24 January 2020. DOI:</w:t>
      </w:r>
      <w:r>
        <w:t xml:space="preserve"> </w:t>
      </w:r>
      <w:hyperlink r:id="rId175">
        <w:r>
          <w:rPr>
            <w:rStyle w:val="Hyperlink"/>
          </w:rPr>
          <w:t xml:space="preserve">10.5281/zenodo.3629446</w:t>
        </w:r>
      </w:hyperlink>
      <w:r>
        <w:t xml:space="preserve">.</w:t>
      </w:r>
    </w:p>
    <w:bookmarkEnd w:id="176"/>
    <w:bookmarkStart w:id="178" w:name="ref-15kEEkiul"/>
    <w:p>
      <w:pPr>
        <w:pStyle w:val="Bibliography"/>
      </w:pPr>
      <w:r>
        <w:t xml:space="preserve">66.</w:t>
      </w:r>
      <w:r>
        <w:t xml:space="preserve"> </w:t>
      </w:r>
      <w:r>
        <w:rPr>
          <w:b/>
        </w:rPr>
        <w:t xml:space="preserve">Seabold S, Perktold J</w:t>
      </w:r>
      <w:r>
        <w:t xml:space="preserve">. Statsmodels: Econometric and Statistical Modeling with Python.</w:t>
      </w:r>
      <w:r>
        <w:t xml:space="preserve"> </w:t>
      </w:r>
      <w:r>
        <w:rPr>
          <w:i/>
        </w:rPr>
        <w:t xml:space="preserve">SciPy</w:t>
      </w:r>
      <w:r>
        <w:t xml:space="preserve">. Epub ahead of print 2010. DOI:</w:t>
      </w:r>
      <w:r>
        <w:t xml:space="preserve"> </w:t>
      </w:r>
      <w:hyperlink r:id="rId177">
        <w:r>
          <w:rPr>
            <w:rStyle w:val="Hyperlink"/>
          </w:rPr>
          <w:t xml:space="preserve">10.25080/majora-92bf1922-011</w:t>
        </w:r>
      </w:hyperlink>
      <w:r>
        <w:t xml:space="preserve">.</w:t>
      </w:r>
    </w:p>
    <w:bookmarkEnd w:id="178"/>
    <w:bookmarkStart w:id="180" w:name="ref-lX665mdh"/>
    <w:p>
      <w:pPr>
        <w:pStyle w:val="Bibliography"/>
      </w:pPr>
      <w:r>
        <w:t xml:space="preserve">67.</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79">
        <w:r>
          <w:rPr>
            <w:rStyle w:val="Hyperlink"/>
          </w:rPr>
          <w:t xml:space="preserve">10.1186/1471-2105-11-119</w:t>
        </w:r>
      </w:hyperlink>
      <w:r>
        <w:t xml:space="preserve">.</w:t>
      </w:r>
    </w:p>
    <w:bookmarkEnd w:id="180"/>
    <w:bookmarkStart w:id="182" w:name="ref-nvbyXyPe"/>
    <w:p>
      <w:pPr>
        <w:pStyle w:val="Bibliography"/>
      </w:pPr>
      <w:r>
        <w:t xml:space="preserve">68.</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81">
        <w:r>
          <w:rPr>
            <w:rStyle w:val="Hyperlink"/>
          </w:rPr>
          <w:t xml:space="preserve">10.1093/nar/gkz935</w:t>
        </w:r>
      </w:hyperlink>
      <w:r>
        <w:t xml:space="preserve">.</w:t>
      </w:r>
    </w:p>
    <w:bookmarkEnd w:id="182"/>
    <w:bookmarkStart w:id="183" w:name="ref-pYB1SP5"/>
    <w:p>
      <w:pPr>
        <w:pStyle w:val="Bibliography"/>
      </w:pPr>
      <w:r>
        <w:t xml:space="preserve">69.</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83"/>
    <w:bookmarkStart w:id="185" w:name="ref-5bpLJeyh"/>
    <w:p>
      <w:pPr>
        <w:pStyle w:val="Bibliography"/>
      </w:pPr>
      <w:r>
        <w:t xml:space="preserve">70.</w:t>
      </w:r>
      <w:r>
        <w:t xml:space="preserve"> </w:t>
      </w:r>
      <w:r>
        <w:rPr>
          <w:b/>
        </w:rPr>
        <w:t xml:space="preserve">Pellow D, Zorea A, Probst M, Furman O,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12 August 2020. DOI:</w:t>
      </w:r>
      <w:r>
        <w:t xml:space="preserve"> </w:t>
      </w:r>
      <w:hyperlink r:id="rId184">
        <w:r>
          <w:rPr>
            <w:rStyle w:val="Hyperlink"/>
          </w:rPr>
          <w:t xml:space="preserve">10.1101/2020.01.12.903252</w:t>
        </w:r>
      </w:hyperlink>
      <w:r>
        <w:t xml:space="preserve">.</w:t>
      </w:r>
    </w:p>
    <w:bookmarkEnd w:id="185"/>
    <w:bookmarkStart w:id="187" w:name="ref-GW6Ed5Sw"/>
    <w:p>
      <w:pPr>
        <w:pStyle w:val="Bibliography"/>
      </w:pPr>
      <w:r>
        <w:t xml:space="preserve">71.</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86">
        <w:r>
          <w:rPr>
            <w:rStyle w:val="Hyperlink"/>
          </w:rPr>
          <w:t xml:space="preserve">10.1101/2020.04.08.032540</w:t>
        </w:r>
      </w:hyperlink>
      <w:r>
        <w:t xml:space="preserve">.</w:t>
      </w:r>
    </w:p>
    <w:bookmarkEnd w:id="187"/>
    <w:bookmarkStart w:id="189" w:name="ref-8IMKGJe4"/>
    <w:p>
      <w:pPr>
        <w:pStyle w:val="Bibliography"/>
      </w:pPr>
      <w:r>
        <w:t xml:space="preserve">72.</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88">
        <w:r>
          <w:rPr>
            <w:rStyle w:val="Hyperlink"/>
          </w:rPr>
          <w:t xml:space="preserve">10.1186/s40168-019-0737-z</w:t>
        </w:r>
      </w:hyperlink>
      <w:r>
        <w:t xml:space="preserve">.</w:t>
      </w:r>
    </w:p>
    <w:bookmarkEnd w:id="189"/>
    <w:bookmarkStart w:id="191" w:name="ref-cMfI5dpb"/>
    <w:p>
      <w:pPr>
        <w:pStyle w:val="Bibliography"/>
      </w:pPr>
      <w:r>
        <w:t xml:space="preserve">73.</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190">
        <w:r>
          <w:rPr>
            <w:rStyle w:val="Hyperlink"/>
          </w:rPr>
          <w:t xml:space="preserve">10.1099/mgen.0.000293</w:t>
        </w:r>
      </w:hyperlink>
      <w:r>
        <w:t xml:space="preserve">.</w:t>
      </w:r>
    </w:p>
    <w:bookmarkEnd w:id="191"/>
    <w:bookmarkStart w:id="192" w:name="ref-YRviGlC7"/>
    <w:p>
      <w:pPr>
        <w:pStyle w:val="Bibliography"/>
      </w:pPr>
      <w:r>
        <w:t xml:space="preserve">74.</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192"/>
    <w:bookmarkStart w:id="193" w:name="ref-FONzPbL9"/>
    <w:p>
      <w:pPr>
        <w:pStyle w:val="Bibliography"/>
      </w:pPr>
      <w:r>
        <w:t xml:space="preserve">75.</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w:t>
      </w:r>
      <w:r>
        <w:t xml:space="preserve">2020;22:2693–2708.</w:t>
      </w:r>
    </w:p>
    <w:bookmarkEnd w:id="193"/>
    <w:bookmarkStart w:id="195" w:name="ref-fQs94ZPa"/>
    <w:p>
      <w:pPr>
        <w:pStyle w:val="Bibliography"/>
      </w:pPr>
      <w:r>
        <w:t xml:space="preserve">76.</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194">
        <w:r>
          <w:rPr>
            <w:rStyle w:val="Hyperlink"/>
          </w:rPr>
          <w:t xml:space="preserve">10.3389/fmicb.2017.02036</w:t>
        </w:r>
      </w:hyperlink>
      <w:r>
        <w:t xml:space="preserve">.</w:t>
      </w:r>
    </w:p>
    <w:bookmarkEnd w:id="195"/>
    <w:bookmarkStart w:id="197" w:name="ref-WJT5of5h"/>
    <w:p>
      <w:pPr>
        <w:pStyle w:val="Bibliography"/>
      </w:pPr>
      <w:r>
        <w:t xml:space="preserve">77.</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196">
        <w:r>
          <w:rPr>
            <w:rStyle w:val="Hyperlink"/>
          </w:rPr>
          <w:t xml:space="preserve">10.1128/aem.02577-16</w:t>
        </w:r>
      </w:hyperlink>
      <w:r>
        <w:t xml:space="preserve">.</w:t>
      </w:r>
    </w:p>
    <w:bookmarkEnd w:id="197"/>
    <w:bookmarkStart w:id="198" w:name="ref-1EZyZrHhJ"/>
    <w:p>
      <w:pPr>
        <w:pStyle w:val="Bibliography"/>
      </w:pPr>
      <w:r>
        <w:t xml:space="preserve">78.</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198"/>
    <w:bookmarkStart w:id="200" w:name="ref-MdKqt622"/>
    <w:p>
      <w:pPr>
        <w:pStyle w:val="Bibliography"/>
      </w:pPr>
      <w:r>
        <w:t xml:space="preserve">79.</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199">
        <w:r>
          <w:rPr>
            <w:rStyle w:val="Hyperlink"/>
          </w:rPr>
          <w:t xml:space="preserve">10.1186/s12879-017-2727-8</w:t>
        </w:r>
      </w:hyperlink>
      <w:r>
        <w:t xml:space="preserve">.</w:t>
      </w:r>
    </w:p>
    <w:bookmarkEnd w:id="200"/>
    <w:bookmarkStart w:id="201" w:name="ref-zxPEyXfK"/>
    <w:p>
      <w:pPr>
        <w:pStyle w:val="Bibliography"/>
      </w:pPr>
      <w:r>
        <w:t xml:space="preserve">80.</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201"/>
    <w:bookmarkStart w:id="203" w:name="ref-mUmGRb3J"/>
    <w:p>
      <w:pPr>
        <w:pStyle w:val="Bibliography"/>
      </w:pPr>
      <w:r>
        <w:t xml:space="preserve">81.</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202">
        <w:r>
          <w:rPr>
            <w:rStyle w:val="Hyperlink"/>
          </w:rPr>
          <w:t xml:space="preserve">10.1038/s41598-017-07790-9</w:t>
        </w:r>
      </w:hyperlink>
      <w:r>
        <w:t xml:space="preserve">.</w:t>
      </w:r>
    </w:p>
    <w:bookmarkEnd w:id="203"/>
    <w:bookmarkStart w:id="204" w:name="ref-IkpDSlIL"/>
    <w:p>
      <w:pPr>
        <w:pStyle w:val="Bibliography"/>
      </w:pPr>
      <w:r>
        <w:t xml:space="preserve">82.</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204"/>
    <w:bookmarkStart w:id="205" w:name="ref-WU7NeQcW"/>
    <w:p>
      <w:pPr>
        <w:pStyle w:val="Bibliography"/>
      </w:pPr>
      <w:r>
        <w:t xml:space="preserve">83.</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205"/>
    <w:bookmarkStart w:id="206" w:name="ref-3KTnNd66"/>
    <w:p>
      <w:pPr>
        <w:pStyle w:val="Bibliography"/>
      </w:pPr>
      <w:r>
        <w:t xml:space="preserve">84.</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206"/>
    <w:bookmarkStart w:id="208" w:name="ref-69R3Dd1j"/>
    <w:p>
      <w:pPr>
        <w:pStyle w:val="Bibliography"/>
      </w:pPr>
      <w:r>
        <w:t xml:space="preserve">85.</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207">
        <w:r>
          <w:rPr>
            <w:rStyle w:val="Hyperlink"/>
          </w:rPr>
          <w:t xml:space="preserve">10.1038/s41598-017-12481-6</w:t>
        </w:r>
      </w:hyperlink>
      <w:r>
        <w:t xml:space="preserve">.</w:t>
      </w:r>
    </w:p>
    <w:bookmarkEnd w:id="208"/>
    <w:bookmarkStart w:id="209" w:name="ref-1G6diFMw9"/>
    <w:p>
      <w:pPr>
        <w:pStyle w:val="Bibliography"/>
      </w:pPr>
      <w:r>
        <w:t xml:space="preserve">86.</w:t>
      </w:r>
      <w:r>
        <w:t xml:space="preserve"> </w:t>
      </w:r>
      <w:r>
        <w:rPr>
          <w:b/>
        </w:rPr>
        <w:t xml:space="preserve">Mulvey MR, Boyd DA, Olson AB, Doublet B, Cloeckaert A</w:t>
      </w:r>
      <w:r>
        <w:t xml:space="preserve">. The genetics of Salmonella genomic island 1.</w:t>
      </w:r>
      <w:r>
        <w:t xml:space="preserve"> </w:t>
      </w:r>
      <w:r>
        <w:rPr>
          <w:i/>
        </w:rPr>
        <w:t xml:space="preserve">Microbes and Infection</w:t>
      </w:r>
      <w:r>
        <w:t xml:space="preserve"> </w:t>
      </w:r>
      <w:r>
        <w:t xml:space="preserve">2006;8:1915–1922.</w:t>
      </w:r>
    </w:p>
    <w:bookmarkEnd w:id="209"/>
    <w:bookmarkStart w:id="210" w:name="ref-IGRAdpaI"/>
    <w:p>
      <w:pPr>
        <w:pStyle w:val="Bibliography"/>
      </w:pPr>
      <w:r>
        <w:t xml:space="preserve">87.</w:t>
      </w:r>
      <w:r>
        <w:t xml:space="preserve"> </w:t>
      </w:r>
      <w:r>
        <w:rPr>
          <w:b/>
        </w:rPr>
        <w:t xml:space="preserve">Arora SK, Wolfgang MC, Lory S, Ramphal R</w:t>
      </w:r>
      <w:r>
        <w:t xml:space="preserve">. Sequence Polymorphism in the Glycosylation Island and Flagellins of Pseudomonas aeruginosa.</w:t>
      </w:r>
      <w:r>
        <w:t xml:space="preserve"> </w:t>
      </w:r>
      <w:r>
        <w:rPr>
          <w:i/>
        </w:rPr>
        <w:t xml:space="preserve">Journal of Bacteriology</w:t>
      </w:r>
      <w:r>
        <w:t xml:space="preserve"> </w:t>
      </w:r>
      <w:r>
        <w:t xml:space="preserve">2004;186:2115–2122.</w:t>
      </w:r>
    </w:p>
    <w:bookmarkEnd w:id="210"/>
    <w:bookmarkStart w:id="212" w:name="ref-4A1l9TZE"/>
    <w:p>
      <w:pPr>
        <w:pStyle w:val="Bibliography"/>
      </w:pPr>
      <w:r>
        <w:t xml:space="preserve">88.</w:t>
      </w:r>
      <w:r>
        <w:t xml:space="preserve"> </w:t>
      </w:r>
      <w:r>
        <w:rPr>
          <w:b/>
        </w:rPr>
        <w:t xml:space="preserve">Redondo-Salvo S, Fernández-López R, Ruiz R, Vielva L, de Toro M</w:t>
      </w:r>
      <w:r>
        <w:rPr>
          <w:b/>
        </w:rPr>
        <w:t xml:space="preserve"> </w:t>
      </w:r>
      <w:r>
        <w:rPr>
          <w:i/>
          <w:b/>
        </w:rPr>
        <w:t xml:space="preserve">et al.</w:t>
      </w:r>
      <w:r>
        <w:t xml:space="preserve"> </w:t>
      </w:r>
      <w:r>
        <w:t xml:space="preserve">Pathways for horizontal gene transfer in bacteria revealed by a global map of their plasmids.</w:t>
      </w:r>
      <w:r>
        <w:t xml:space="preserve"> </w:t>
      </w:r>
      <w:r>
        <w:rPr>
          <w:i/>
        </w:rPr>
        <w:t xml:space="preserve">Nature Communications</w:t>
      </w:r>
      <w:r>
        <w:t xml:space="preserve">;11. Epub ahead of print 17 July 2020. DOI:</w:t>
      </w:r>
      <w:r>
        <w:t xml:space="preserve"> </w:t>
      </w:r>
      <w:hyperlink r:id="rId211">
        <w:r>
          <w:rPr>
            <w:rStyle w:val="Hyperlink"/>
          </w:rPr>
          <w:t xml:space="preserve">10.1038/s41467-020-17278-2</w:t>
        </w:r>
      </w:hyperlink>
      <w:r>
        <w:t xml:space="preserve">.</w:t>
      </w:r>
    </w:p>
    <w:bookmarkEnd w:id="212"/>
    <w:bookmarkStart w:id="214" w:name="ref-18qKF2jNL"/>
    <w:p>
      <w:pPr>
        <w:pStyle w:val="Bibliography"/>
      </w:pPr>
      <w:r>
        <w:t xml:space="preserve">89.</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213">
        <w:r>
          <w:rPr>
            <w:rStyle w:val="Hyperlink"/>
          </w:rPr>
          <w:t xml:space="preserve">10.1186/s40168-019-0633-6</w:t>
        </w:r>
      </w:hyperlink>
      <w:r>
        <w:t xml:space="preserve">.</w:t>
      </w:r>
    </w:p>
    <w:bookmarkEnd w:id="214"/>
    <w:bookmarkStart w:id="216" w:name="ref-4jGCH8lH"/>
    <w:p>
      <w:pPr>
        <w:pStyle w:val="Bibliography"/>
      </w:pPr>
      <w:r>
        <w:t xml:space="preserve">90.</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215">
        <w:r>
          <w:rPr>
            <w:rStyle w:val="Hyperlink"/>
          </w:rPr>
          <w:t xml:space="preserve">10.1128/msystems.00062-16</w:t>
        </w:r>
      </w:hyperlink>
      <w:r>
        <w:t xml:space="preserve">.</w:t>
      </w:r>
    </w:p>
    <w:bookmarkEnd w:id="216"/>
    <w:bookmarkStart w:id="217" w:name="ref-1G5MoLsVr"/>
    <w:p>
      <w:pPr>
        <w:pStyle w:val="Bibliography"/>
      </w:pPr>
      <w:r>
        <w:t xml:space="preserve">91.</w:t>
      </w:r>
      <w:r>
        <w:t xml:space="preserve"> </w:t>
      </w:r>
      <w:r>
        <w:rPr>
          <w:b/>
        </w:rPr>
        <w:t xml:space="preserve">Karimzadeh M, Hoffman MM</w:t>
      </w:r>
      <w:r>
        <w:t xml:space="preserve">. Top considerations for creating bioinformatics software documentation.</w:t>
      </w:r>
      <w:r>
        <w:t xml:space="preserve"> </w:t>
      </w:r>
      <w:r>
        <w:rPr>
          <w:i/>
        </w:rPr>
        <w:t xml:space="preserve">Briefings in Bioinformatics</w:t>
      </w:r>
      <w:r>
        <w:t xml:space="preserve"> </w:t>
      </w:r>
      <w:r>
        <w:t xml:space="preserve">2018;19:693–699.</w:t>
      </w:r>
    </w:p>
    <w:bookmarkEnd w:id="217"/>
    <w:bookmarkStart w:id="219" w:name="ref-1FgkF8i4W"/>
    <w:p>
      <w:pPr>
        <w:pStyle w:val="Bibliography"/>
      </w:pPr>
      <w:r>
        <w:t xml:space="preserve">92.</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18">
        <w:r>
          <w:rPr>
            <w:rStyle w:val="Hyperlink"/>
          </w:rPr>
          <w:t xml:space="preserve">10.1099/mgen.0.000131</w:t>
        </w:r>
      </w:hyperlink>
      <w:r>
        <w:t xml:space="preserve">.</w:t>
      </w:r>
    </w:p>
    <w:bookmarkEnd w:id="219"/>
    <w:bookmarkEnd w:id="220"/>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9" Target="media/rId89.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91" Target="media/rId9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211" Target="https://doi.org/10.1038/s41467-020-17278-2" TargetMode="External" /><Relationship Type="http://schemas.openxmlformats.org/officeDocument/2006/relationships/hyperlink" Id="rId149" Target="https://doi.org/10.1038/s41559-016-0010" TargetMode="External" /><Relationship Type="http://schemas.openxmlformats.org/officeDocument/2006/relationships/hyperlink" Id="rId202" Target="https://doi.org/10.1038/s41598-017-07790-9" TargetMode="External" /><Relationship Type="http://schemas.openxmlformats.org/officeDocument/2006/relationships/hyperlink" Id="rId207" Target="https://doi.org/10.1038/s41598-017-12481-6" TargetMode="External" /><Relationship Type="http://schemas.openxmlformats.org/officeDocument/2006/relationships/hyperlink" Id="rId135" Target="https://doi.org/10.1093/gigascience/giy069" TargetMode="External" /><Relationship Type="http://schemas.openxmlformats.org/officeDocument/2006/relationships/hyperlink" Id="rId107" Target="https://doi.org/10.1093/gigascience/giz043" TargetMode="External" /><Relationship Type="http://schemas.openxmlformats.org/officeDocument/2006/relationships/hyperlink" Id="rId181" Target="https://doi.org/10.1093/nar/gkz935" TargetMode="External" /><Relationship Type="http://schemas.openxmlformats.org/officeDocument/2006/relationships/hyperlink" Id="rId161" Target="https://doi.org/10.1099/mgen.0.000128" TargetMode="External" /><Relationship Type="http://schemas.openxmlformats.org/officeDocument/2006/relationships/hyperlink" Id="rId218" Target="https://doi.org/10.1099/mgen.0.000131" TargetMode="External" /><Relationship Type="http://schemas.openxmlformats.org/officeDocument/2006/relationships/hyperlink" Id="rId190" Target="https://doi.org/10.1099/mgen.0.000293" TargetMode="External" /><Relationship Type="http://schemas.openxmlformats.org/officeDocument/2006/relationships/hyperlink" Id="rId184" Target="https://doi.org/10.1101/2020.01.12.903252" TargetMode="External" /><Relationship Type="http://schemas.openxmlformats.org/officeDocument/2006/relationships/hyperlink" Id="rId186" Target="https://doi.org/10.1101/2020.04.08.032540" TargetMode="External" /><Relationship Type="http://schemas.openxmlformats.org/officeDocument/2006/relationships/hyperlink" Id="rId131" Target="https://doi.org/10.1101/489443" TargetMode="External" /><Relationship Type="http://schemas.openxmlformats.org/officeDocument/2006/relationships/hyperlink" Id="rId196" Target="https://doi.org/10.1128/aem.02577-16" TargetMode="External" /><Relationship Type="http://schemas.openxmlformats.org/officeDocument/2006/relationships/hyperlink" Id="rId215" Target="https://doi.org/10.1128/msystems.00062-16" TargetMode="External" /><Relationship Type="http://schemas.openxmlformats.org/officeDocument/2006/relationships/hyperlink" Id="rId179" Target="https://doi.org/10.1186/1471-2105-11-119" TargetMode="External" /><Relationship Type="http://schemas.openxmlformats.org/officeDocument/2006/relationships/hyperlink" Id="rId137" Target="https://doi.org/10.1186/s12859-020-03667-3" TargetMode="External" /><Relationship Type="http://schemas.openxmlformats.org/officeDocument/2006/relationships/hyperlink" Id="rId114" Target="https://doi.org/10.1186/s12864-015-1419-2" TargetMode="External" /><Relationship Type="http://schemas.openxmlformats.org/officeDocument/2006/relationships/hyperlink" Id="rId158" Target="https://doi.org/10.1186/s12864-017-4429-4" TargetMode="External" /><Relationship Type="http://schemas.openxmlformats.org/officeDocument/2006/relationships/hyperlink" Id="rId109" Target="https://doi.org/10.1186/s12866-019-1500-0" TargetMode="External" /><Relationship Type="http://schemas.openxmlformats.org/officeDocument/2006/relationships/hyperlink" Id="rId199" Target="https://doi.org/10.1186/s12879-017-2727-8" TargetMode="External" /><Relationship Type="http://schemas.openxmlformats.org/officeDocument/2006/relationships/hyperlink" Id="rId213" Target="https://doi.org/10.1186/s40168-019-0633-6" TargetMode="External" /><Relationship Type="http://schemas.openxmlformats.org/officeDocument/2006/relationships/hyperlink" Id="rId188" Target="https://doi.org/10.1186/s40168-019-0737-z" TargetMode="External" /><Relationship Type="http://schemas.openxmlformats.org/officeDocument/2006/relationships/hyperlink" Id="rId177" Target="https://doi.org/10.25080/majora-92bf1922-011" TargetMode="External" /><Relationship Type="http://schemas.openxmlformats.org/officeDocument/2006/relationships/hyperlink" Id="rId142" Target="https://doi.org/10.3389/fmicb.2016.00173" TargetMode="External" /><Relationship Type="http://schemas.openxmlformats.org/officeDocument/2006/relationships/hyperlink" Id="rId194" Target="https://doi.org/10.3389/fmicb.2017.02036" TargetMode="External" /><Relationship Type="http://schemas.openxmlformats.org/officeDocument/2006/relationships/hyperlink" Id="rId175" Target="https://doi.org/10.5281/zenodo.3629446" TargetMode="External" /><Relationship Type="http://schemas.openxmlformats.org/officeDocument/2006/relationships/hyperlink" Id="rId125" Target="https://doi.org/10.7287/peerj.preprints.27522v1" TargetMode="External" /><Relationship Type="http://schemas.openxmlformats.org/officeDocument/2006/relationships/hyperlink" Id="rId20" Target="https://fmaguire.github.io/mag_sim_paper/v/dc13b93ed3cc4348871d79238dfdc884e20609a8/"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dc13b93ed3cc4348871d79238dfdc884e20609a8" TargetMode="External" /><Relationship Type="http://schemas.openxmlformats.org/officeDocument/2006/relationships/hyperlink" Id="rId30" Target="https://github.com/imasianxd" TargetMode="External" /><Relationship Type="http://schemas.openxmlformats.org/officeDocument/2006/relationships/hyperlink" Id="rId164"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211" Target="https://doi.org/10.1038/s41467-020-17278-2" TargetMode="External" /><Relationship Type="http://schemas.openxmlformats.org/officeDocument/2006/relationships/hyperlink" Id="rId149" Target="https://doi.org/10.1038/s41559-016-0010" TargetMode="External" /><Relationship Type="http://schemas.openxmlformats.org/officeDocument/2006/relationships/hyperlink" Id="rId202" Target="https://doi.org/10.1038/s41598-017-07790-9" TargetMode="External" /><Relationship Type="http://schemas.openxmlformats.org/officeDocument/2006/relationships/hyperlink" Id="rId207" Target="https://doi.org/10.1038/s41598-017-12481-6" TargetMode="External" /><Relationship Type="http://schemas.openxmlformats.org/officeDocument/2006/relationships/hyperlink" Id="rId135" Target="https://doi.org/10.1093/gigascience/giy069" TargetMode="External" /><Relationship Type="http://schemas.openxmlformats.org/officeDocument/2006/relationships/hyperlink" Id="rId107" Target="https://doi.org/10.1093/gigascience/giz043" TargetMode="External" /><Relationship Type="http://schemas.openxmlformats.org/officeDocument/2006/relationships/hyperlink" Id="rId181" Target="https://doi.org/10.1093/nar/gkz935" TargetMode="External" /><Relationship Type="http://schemas.openxmlformats.org/officeDocument/2006/relationships/hyperlink" Id="rId161" Target="https://doi.org/10.1099/mgen.0.000128" TargetMode="External" /><Relationship Type="http://schemas.openxmlformats.org/officeDocument/2006/relationships/hyperlink" Id="rId218" Target="https://doi.org/10.1099/mgen.0.000131" TargetMode="External" /><Relationship Type="http://schemas.openxmlformats.org/officeDocument/2006/relationships/hyperlink" Id="rId190" Target="https://doi.org/10.1099/mgen.0.000293" TargetMode="External" /><Relationship Type="http://schemas.openxmlformats.org/officeDocument/2006/relationships/hyperlink" Id="rId184" Target="https://doi.org/10.1101/2020.01.12.903252" TargetMode="External" /><Relationship Type="http://schemas.openxmlformats.org/officeDocument/2006/relationships/hyperlink" Id="rId186" Target="https://doi.org/10.1101/2020.04.08.032540" TargetMode="External" /><Relationship Type="http://schemas.openxmlformats.org/officeDocument/2006/relationships/hyperlink" Id="rId131" Target="https://doi.org/10.1101/489443" TargetMode="External" /><Relationship Type="http://schemas.openxmlformats.org/officeDocument/2006/relationships/hyperlink" Id="rId196" Target="https://doi.org/10.1128/aem.02577-16" TargetMode="External" /><Relationship Type="http://schemas.openxmlformats.org/officeDocument/2006/relationships/hyperlink" Id="rId215" Target="https://doi.org/10.1128/msystems.00062-16" TargetMode="External" /><Relationship Type="http://schemas.openxmlformats.org/officeDocument/2006/relationships/hyperlink" Id="rId179" Target="https://doi.org/10.1186/1471-2105-11-119" TargetMode="External" /><Relationship Type="http://schemas.openxmlformats.org/officeDocument/2006/relationships/hyperlink" Id="rId137" Target="https://doi.org/10.1186/s12859-020-03667-3" TargetMode="External" /><Relationship Type="http://schemas.openxmlformats.org/officeDocument/2006/relationships/hyperlink" Id="rId114" Target="https://doi.org/10.1186/s12864-015-1419-2" TargetMode="External" /><Relationship Type="http://schemas.openxmlformats.org/officeDocument/2006/relationships/hyperlink" Id="rId158" Target="https://doi.org/10.1186/s12864-017-4429-4" TargetMode="External" /><Relationship Type="http://schemas.openxmlformats.org/officeDocument/2006/relationships/hyperlink" Id="rId109" Target="https://doi.org/10.1186/s12866-019-1500-0" TargetMode="External" /><Relationship Type="http://schemas.openxmlformats.org/officeDocument/2006/relationships/hyperlink" Id="rId199" Target="https://doi.org/10.1186/s12879-017-2727-8" TargetMode="External" /><Relationship Type="http://schemas.openxmlformats.org/officeDocument/2006/relationships/hyperlink" Id="rId213" Target="https://doi.org/10.1186/s40168-019-0633-6" TargetMode="External" /><Relationship Type="http://schemas.openxmlformats.org/officeDocument/2006/relationships/hyperlink" Id="rId188" Target="https://doi.org/10.1186/s40168-019-0737-z" TargetMode="External" /><Relationship Type="http://schemas.openxmlformats.org/officeDocument/2006/relationships/hyperlink" Id="rId177" Target="https://doi.org/10.25080/majora-92bf1922-011" TargetMode="External" /><Relationship Type="http://schemas.openxmlformats.org/officeDocument/2006/relationships/hyperlink" Id="rId142" Target="https://doi.org/10.3389/fmicb.2016.00173" TargetMode="External" /><Relationship Type="http://schemas.openxmlformats.org/officeDocument/2006/relationships/hyperlink" Id="rId194" Target="https://doi.org/10.3389/fmicb.2017.02036" TargetMode="External" /><Relationship Type="http://schemas.openxmlformats.org/officeDocument/2006/relationships/hyperlink" Id="rId175" Target="https://doi.org/10.5281/zenodo.3629446" TargetMode="External" /><Relationship Type="http://schemas.openxmlformats.org/officeDocument/2006/relationships/hyperlink" Id="rId125" Target="https://doi.org/10.7287/peerj.preprints.27522v1" TargetMode="External" /><Relationship Type="http://schemas.openxmlformats.org/officeDocument/2006/relationships/hyperlink" Id="rId20" Target="https://fmaguire.github.io/mag_sim_paper/v/dc13b93ed3cc4348871d79238dfdc884e20609a8/"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dc13b93ed3cc4348871d79238dfdc884e20609a8" TargetMode="External" /><Relationship Type="http://schemas.openxmlformats.org/officeDocument/2006/relationships/hyperlink" Id="rId30" Target="https://github.com/imasianxd" TargetMode="External" /><Relationship Type="http://schemas.openxmlformats.org/officeDocument/2006/relationships/hyperlink" Id="rId164"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2020-08-28T03:11:17Z</dcterms:created>
  <dcterms:modified xsi:type="dcterms:W3CDTF">2020-08-28T03:11:17Z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2020-08-28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